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145F6">
      <w:pPr>
        <w:keepNext w:val="0"/>
        <w:keepLines w:val="0"/>
        <w:pageBreakBefore w:val="0"/>
        <w:kinsoku/>
        <w:wordWrap/>
        <w:overflowPunct/>
        <w:topLinePunct w:val="0"/>
        <w:autoSpaceDE/>
        <w:autoSpaceDN/>
        <w:bidi w:val="0"/>
        <w:adjustRightInd/>
        <w:snapToGrid/>
        <w:spacing w:beforeAutospacing="0" w:afterAutospacing="0" w:line="360" w:lineRule="auto"/>
        <w:jc w:val="right"/>
        <w:rPr>
          <w:rFonts w:hint="eastAsia" w:ascii="Times New Roman" w:hAnsi="Times New Roman" w:eastAsia="宋体" w:cs="黑体"/>
          <w:b/>
          <w:bCs/>
          <w:color w:val="auto"/>
          <w:kern w:val="0"/>
          <w:sz w:val="44"/>
          <w:szCs w:val="44"/>
          <w:lang w:val="en-US" w:eastAsia="zh-CN" w:bidi="ar"/>
        </w:rPr>
      </w:pPr>
      <w:r>
        <w:rPr>
          <w:rFonts w:hint="eastAsia" w:ascii="Times New Roman" w:hAnsi="Times New Roman" w:eastAsia="宋体" w:cs="黑体"/>
          <w:b/>
          <w:bCs/>
          <w:color w:val="auto"/>
          <w:kern w:val="0"/>
          <w:sz w:val="44"/>
          <w:szCs w:val="44"/>
          <w:lang w:val="en-US" w:eastAsia="zh-CN" w:bidi="ar"/>
        </w:rPr>
        <w:t>·论著·</w:t>
      </w:r>
    </w:p>
    <w:p w14:paraId="61D9FF8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黑体"/>
          <w:b/>
          <w:bCs/>
          <w:color w:val="auto"/>
          <w:sz w:val="44"/>
          <w:szCs w:val="44"/>
        </w:rPr>
      </w:pPr>
      <w:r>
        <w:rPr>
          <w:rFonts w:hint="eastAsia" w:ascii="Times New Roman" w:hAnsi="Times New Roman" w:eastAsia="宋体" w:cs="黑体"/>
          <w:b/>
          <w:bCs/>
          <w:color w:val="auto"/>
          <w:kern w:val="0"/>
          <w:sz w:val="44"/>
          <w:szCs w:val="44"/>
        </w:rPr>
        <w:t>脑卒中偏瘫患者连续步行中骨盆不对称活动的动态分析</w:t>
      </w:r>
    </w:p>
    <w:p w14:paraId="032CAC3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stheme="minorEastAsia"/>
          <w:color w:val="auto"/>
          <w:sz w:val="21"/>
          <w:szCs w:val="24"/>
        </w:rPr>
      </w:pPr>
      <w:r>
        <w:rPr>
          <w:rFonts w:hint="eastAsia" w:ascii="Times New Roman" w:hAnsi="Times New Roman" w:eastAsia="宋体" w:cstheme="minorEastAsia"/>
          <w:color w:val="auto"/>
          <w:kern w:val="0"/>
          <w:sz w:val="21"/>
          <w:szCs w:val="24"/>
        </w:rPr>
        <w:t>吴章薇</w:t>
      </w:r>
      <w:r>
        <w:rPr>
          <w:rFonts w:hint="eastAsia" w:ascii="Times New Roman" w:hAnsi="Times New Roman" w:eastAsia="宋体" w:cstheme="minorEastAsia"/>
          <w:color w:val="auto"/>
          <w:sz w:val="21"/>
          <w:szCs w:val="24"/>
          <w:vertAlign w:val="superscript"/>
        </w:rPr>
        <w:t>1</w:t>
      </w:r>
      <w:r>
        <w:rPr>
          <w:rFonts w:hint="eastAsia" w:ascii="Times New Roman" w:hAnsi="Times New Roman" w:eastAsia="宋体" w:cstheme="minorEastAsia"/>
          <w:color w:val="auto"/>
          <w:sz w:val="21"/>
          <w:szCs w:val="24"/>
          <w:vertAlign w:val="superscript"/>
          <w:lang w:eastAsia="zh-CN"/>
        </w:rPr>
        <w:t>，</w:t>
      </w:r>
      <w:r>
        <w:rPr>
          <w:rFonts w:hint="eastAsia" w:ascii="Times New Roman" w:hAnsi="Times New Roman" w:eastAsia="宋体" w:cstheme="minorEastAsia"/>
          <w:color w:val="auto"/>
          <w:sz w:val="21"/>
          <w:szCs w:val="24"/>
          <w:vertAlign w:val="superscript"/>
        </w:rPr>
        <w:t>2</w:t>
      </w:r>
      <w:r>
        <w:rPr>
          <w:rFonts w:hint="eastAsia" w:ascii="Times New Roman" w:hAnsi="Times New Roman" w:eastAsia="宋体" w:cstheme="minorEastAsia"/>
          <w:color w:val="auto"/>
          <w:sz w:val="21"/>
          <w:szCs w:val="24"/>
          <w:lang w:val="en-US" w:eastAsia="zh-CN"/>
        </w:rPr>
        <w:t xml:space="preserve">  </w:t>
      </w:r>
      <w:r>
        <w:rPr>
          <w:rFonts w:hint="eastAsia" w:ascii="Times New Roman" w:hAnsi="Times New Roman" w:eastAsia="宋体" w:cstheme="minorEastAsia"/>
          <w:color w:val="auto"/>
          <w:kern w:val="0"/>
          <w:sz w:val="21"/>
          <w:szCs w:val="24"/>
        </w:rPr>
        <w:t>张通</w:t>
      </w:r>
      <w:r>
        <w:rPr>
          <w:rFonts w:hint="eastAsia" w:ascii="Times New Roman" w:hAnsi="Times New Roman" w:eastAsia="宋体" w:cstheme="minorEastAsia"/>
          <w:color w:val="auto"/>
          <w:sz w:val="21"/>
          <w:szCs w:val="24"/>
          <w:vertAlign w:val="superscript"/>
        </w:rPr>
        <w:t>1</w:t>
      </w:r>
      <w:r>
        <w:rPr>
          <w:rFonts w:hint="eastAsia" w:ascii="Times New Roman" w:hAnsi="Times New Roman" w:eastAsia="宋体" w:cstheme="minorEastAsia"/>
          <w:color w:val="auto"/>
          <w:sz w:val="21"/>
          <w:szCs w:val="24"/>
          <w:vertAlign w:val="superscript"/>
          <w:lang w:eastAsia="zh-CN"/>
        </w:rPr>
        <w:t>，</w:t>
      </w:r>
      <w:r>
        <w:rPr>
          <w:rFonts w:hint="eastAsia" w:ascii="Times New Roman" w:hAnsi="Times New Roman" w:eastAsia="宋体" w:cstheme="minorEastAsia"/>
          <w:color w:val="auto"/>
          <w:sz w:val="21"/>
          <w:szCs w:val="24"/>
          <w:vertAlign w:val="superscript"/>
        </w:rPr>
        <w:t>2</w:t>
      </w:r>
      <w:r>
        <w:rPr>
          <w:rFonts w:hint="eastAsia" w:ascii="Times New Roman" w:hAnsi="Times New Roman" w:eastAsia="宋体" w:cstheme="minorEastAsia"/>
          <w:color w:val="auto"/>
          <w:sz w:val="21"/>
          <w:szCs w:val="24"/>
          <w:lang w:val="en-US" w:eastAsia="zh-CN"/>
        </w:rPr>
        <w:t xml:space="preserve"> </w:t>
      </w:r>
      <w:r>
        <w:rPr>
          <w:rFonts w:hint="eastAsia" w:ascii="Times New Roman" w:hAnsi="Times New Roman" w:eastAsia="宋体" w:cstheme="minorEastAsia"/>
          <w:color w:val="auto"/>
          <w:kern w:val="0"/>
          <w:sz w:val="21"/>
          <w:szCs w:val="24"/>
          <w:lang w:val="en-US" w:eastAsia="zh-CN"/>
        </w:rPr>
        <w:t xml:space="preserve"> </w:t>
      </w:r>
      <w:r>
        <w:rPr>
          <w:rFonts w:hint="eastAsia" w:ascii="Times New Roman" w:hAnsi="Times New Roman" w:eastAsia="宋体" w:cstheme="minorEastAsia"/>
          <w:color w:val="auto"/>
          <w:kern w:val="0"/>
          <w:sz w:val="21"/>
          <w:szCs w:val="24"/>
        </w:rPr>
        <w:t>赵军</w:t>
      </w:r>
      <w:r>
        <w:rPr>
          <w:rFonts w:hint="eastAsia" w:ascii="Times New Roman" w:hAnsi="Times New Roman" w:eastAsia="宋体" w:cstheme="minorEastAsia"/>
          <w:color w:val="auto"/>
          <w:sz w:val="21"/>
          <w:szCs w:val="24"/>
          <w:vertAlign w:val="superscript"/>
        </w:rPr>
        <w:t>1</w:t>
      </w:r>
      <w:r>
        <w:rPr>
          <w:rFonts w:hint="eastAsia" w:ascii="Times New Roman" w:hAnsi="Times New Roman" w:eastAsia="宋体" w:cstheme="minorEastAsia"/>
          <w:color w:val="auto"/>
          <w:sz w:val="21"/>
          <w:szCs w:val="24"/>
          <w:vertAlign w:val="superscript"/>
          <w:lang w:eastAsia="zh-CN"/>
        </w:rPr>
        <w:t>，</w:t>
      </w:r>
      <w:r>
        <w:rPr>
          <w:rFonts w:hint="eastAsia" w:ascii="Times New Roman" w:hAnsi="Times New Roman" w:eastAsia="宋体" w:cstheme="minorEastAsia"/>
          <w:color w:val="auto"/>
          <w:sz w:val="21"/>
          <w:szCs w:val="24"/>
          <w:vertAlign w:val="superscript"/>
        </w:rPr>
        <w:t>2</w:t>
      </w:r>
      <w:r>
        <w:rPr>
          <w:rFonts w:hint="eastAsia" w:ascii="Times New Roman" w:hAnsi="Times New Roman" w:eastAsia="宋体" w:cstheme="minorEastAsia"/>
          <w:color w:val="auto"/>
          <w:sz w:val="21"/>
          <w:szCs w:val="24"/>
          <w:lang w:val="en-US" w:eastAsia="zh-CN"/>
        </w:rPr>
        <w:t xml:space="preserve">  </w:t>
      </w:r>
      <w:r>
        <w:rPr>
          <w:rFonts w:hint="eastAsia" w:ascii="Times New Roman" w:hAnsi="Times New Roman" w:eastAsia="宋体" w:cstheme="minorEastAsia"/>
          <w:color w:val="auto"/>
          <w:kern w:val="0"/>
          <w:sz w:val="21"/>
          <w:szCs w:val="24"/>
        </w:rPr>
        <w:t>周昊</w:t>
      </w:r>
      <w:r>
        <w:rPr>
          <w:rFonts w:hint="eastAsia" w:ascii="Times New Roman" w:hAnsi="Times New Roman" w:eastAsia="宋体" w:cstheme="minorEastAsia"/>
          <w:color w:val="auto"/>
          <w:sz w:val="21"/>
          <w:szCs w:val="24"/>
          <w:vertAlign w:val="superscript"/>
        </w:rPr>
        <w:t>2</w:t>
      </w:r>
      <w:r>
        <w:rPr>
          <w:rFonts w:hint="eastAsia" w:ascii="Times New Roman" w:hAnsi="Times New Roman" w:eastAsia="宋体" w:cstheme="minorEastAsia"/>
          <w:color w:val="auto"/>
          <w:sz w:val="21"/>
          <w:szCs w:val="24"/>
          <w:lang w:val="en-US" w:eastAsia="zh-CN"/>
        </w:rPr>
        <w:t xml:space="preserve">  </w:t>
      </w:r>
      <w:r>
        <w:rPr>
          <w:rFonts w:hint="eastAsia" w:ascii="Times New Roman" w:hAnsi="Times New Roman" w:eastAsia="宋体" w:cstheme="minorEastAsia"/>
          <w:color w:val="auto"/>
          <w:sz w:val="21"/>
          <w:szCs w:val="24"/>
        </w:rPr>
        <w:t>李冰洁</w:t>
      </w:r>
      <w:r>
        <w:rPr>
          <w:rFonts w:hint="eastAsia" w:ascii="Times New Roman" w:hAnsi="Times New Roman" w:eastAsia="宋体" w:cstheme="minorEastAsia"/>
          <w:color w:val="auto"/>
          <w:sz w:val="21"/>
          <w:szCs w:val="24"/>
          <w:vertAlign w:val="superscript"/>
        </w:rPr>
        <w:t>2</w:t>
      </w:r>
    </w:p>
    <w:p w14:paraId="58962B5F">
      <w:pPr>
        <w:keepNext w:val="0"/>
        <w:keepLines w:val="0"/>
        <w:pageBreakBefore w:val="0"/>
        <w:kinsoku/>
        <w:wordWrap/>
        <w:overflowPunct/>
        <w:topLinePunct w:val="0"/>
        <w:autoSpaceDE/>
        <w:autoSpaceDN/>
        <w:bidi w:val="0"/>
        <w:adjustRightInd/>
        <w:snapToGrid/>
        <w:spacing w:beforeAutospacing="0" w:afterAutospacing="0" w:line="360" w:lineRule="auto"/>
        <w:rPr>
          <w:rFonts w:hint="eastAsia" w:ascii="Times New Roman" w:hAnsi="Times New Roman" w:eastAsia="宋体" w:cstheme="minorEastAsia"/>
          <w:color w:val="auto"/>
          <w:spacing w:val="15"/>
          <w:sz w:val="21"/>
          <w:szCs w:val="24"/>
          <w:lang w:eastAsia="zh-CN"/>
        </w:rPr>
      </w:pPr>
      <w:r>
        <w:rPr>
          <w:rFonts w:hint="eastAsia" w:ascii="Times New Roman" w:hAnsi="Times New Roman" w:eastAsia="宋体" w:cstheme="minorEastAsia"/>
          <w:color w:val="auto"/>
          <w:sz w:val="21"/>
          <w:szCs w:val="24"/>
        </w:rPr>
        <w:t>基金项目：国家重点研发计划</w:t>
      </w:r>
      <w:r>
        <w:rPr>
          <w:rFonts w:hint="eastAsia" w:ascii="Times New Roman" w:hAnsi="Times New Roman" w:eastAsia="宋体" w:cstheme="minorEastAsia"/>
          <w:color w:val="auto"/>
          <w:sz w:val="21"/>
          <w:szCs w:val="24"/>
          <w:lang w:val="en-US" w:eastAsia="zh-CN"/>
        </w:rPr>
        <w:t>项目</w:t>
      </w:r>
      <w:r>
        <w:rPr>
          <w:rFonts w:hint="eastAsia" w:ascii="Times New Roman" w:hAnsi="Times New Roman" w:eastAsia="宋体" w:cstheme="minorEastAsia"/>
          <w:color w:val="auto"/>
          <w:sz w:val="21"/>
          <w:szCs w:val="24"/>
          <w:lang w:eastAsia="zh-CN"/>
        </w:rPr>
        <w:t>（</w:t>
      </w:r>
      <w:r>
        <w:rPr>
          <w:rFonts w:hint="eastAsia" w:ascii="Times New Roman" w:hAnsi="Times New Roman" w:eastAsia="宋体" w:cstheme="minorEastAsia"/>
          <w:color w:val="auto"/>
          <w:sz w:val="21"/>
          <w:szCs w:val="24"/>
        </w:rPr>
        <w:t>2023YFC3605200</w:t>
      </w:r>
      <w:r>
        <w:rPr>
          <w:rFonts w:hint="eastAsia" w:ascii="Times New Roman" w:hAnsi="Times New Roman" w:eastAsia="宋体" w:cstheme="minorEastAsia"/>
          <w:color w:val="auto"/>
          <w:sz w:val="21"/>
          <w:szCs w:val="24"/>
          <w:lang w:eastAsia="zh-CN"/>
        </w:rPr>
        <w:t>，</w:t>
      </w:r>
      <w:r>
        <w:rPr>
          <w:rFonts w:hint="eastAsia" w:ascii="Times New Roman" w:hAnsi="Times New Roman" w:eastAsia="宋体" w:cstheme="minorEastAsia"/>
          <w:color w:val="auto"/>
          <w:sz w:val="21"/>
          <w:szCs w:val="24"/>
        </w:rPr>
        <w:t>2023YFC3605204</w:t>
      </w:r>
      <w:r>
        <w:rPr>
          <w:rFonts w:hint="eastAsia" w:ascii="Times New Roman" w:hAnsi="Times New Roman" w:eastAsia="宋体" w:cstheme="minorEastAsia"/>
          <w:color w:val="auto"/>
          <w:sz w:val="21"/>
          <w:szCs w:val="24"/>
          <w:lang w:eastAsia="zh-CN"/>
        </w:rPr>
        <w:t>）</w:t>
      </w:r>
    </w:p>
    <w:p w14:paraId="63D6BEF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heme="minorEastAsia"/>
          <w:color w:val="auto"/>
          <w:kern w:val="0"/>
          <w:sz w:val="21"/>
          <w:szCs w:val="24"/>
        </w:rPr>
      </w:pPr>
      <w:r>
        <w:rPr>
          <w:rFonts w:ascii="Times New Roman" w:hAnsi="Times New Roman" w:eastAsia="宋体"/>
          <w:color w:val="auto"/>
          <w:sz w:val="21"/>
          <w:szCs w:val="24"/>
        </w:rPr>
        <w:fldChar w:fldCharType="begin"/>
      </w:r>
      <w:r>
        <w:rPr>
          <w:rFonts w:ascii="Times New Roman" w:hAnsi="Times New Roman" w:eastAsia="宋体"/>
          <w:color w:val="auto"/>
          <w:sz w:val="21"/>
          <w:szCs w:val="24"/>
        </w:rPr>
        <w:instrText xml:space="preserve"> HYPERLINK "https://kns-cnki-net-443.webvpn.ccmu.edu.cn/kcms2/organ/detail?v=RN_8baVbY4dSzcXpYyeNiMIsPSIyNlfA4Rfj9_WRXF_OyROKDybfjECJFAI9NM9xu3buLNDbGmbakWgTHvu4AuQ_KvB3OuDn6yfm9_VTGxPPnRmb3I5e7qg9T-gQ_N65lnFU8z1QaYHsiwesWscYycInCODqAOBbr5lGjfa0v2vlinAqfL-zmyBqYhNy0ijcAKsPFnXVbcay163Ln584kpihlxiPzNqg20Wyc1eNrPnhoSy1dRwgYqs4MlWdaXqhP4zcGhVqrtzTS0HflQNhsL4-BeUpIyT6&amp;uniplatform=NZKPT&amp;language=CHS" \t "https://kns-cnki-net-443.webvpn.ccmu.edu.cn/kcms2/article/_blank" </w:instrText>
      </w:r>
      <w:r>
        <w:rPr>
          <w:rFonts w:ascii="Times New Roman" w:hAnsi="Times New Roman" w:eastAsia="宋体"/>
          <w:color w:val="auto"/>
          <w:sz w:val="21"/>
          <w:szCs w:val="24"/>
        </w:rPr>
        <w:fldChar w:fldCharType="separate"/>
      </w:r>
      <w:r>
        <w:rPr>
          <w:rFonts w:hint="eastAsia" w:ascii="Times New Roman" w:hAnsi="Times New Roman" w:eastAsia="宋体" w:cstheme="minorEastAsia"/>
          <w:color w:val="auto"/>
          <w:kern w:val="0"/>
          <w:sz w:val="21"/>
          <w:szCs w:val="24"/>
          <w:lang w:val="en-US" w:eastAsia="zh-CN"/>
        </w:rPr>
        <w:t>作者单位：</w:t>
      </w:r>
      <w:r>
        <w:rPr>
          <w:rFonts w:hint="eastAsia" w:ascii="Times New Roman" w:hAnsi="Times New Roman" w:eastAsia="宋体" w:cstheme="minorEastAsia"/>
          <w:color w:val="auto"/>
          <w:kern w:val="0"/>
          <w:sz w:val="21"/>
          <w:szCs w:val="24"/>
        </w:rPr>
        <w:t>100068</w:t>
      </w:r>
      <w:r>
        <w:rPr>
          <w:rFonts w:hint="eastAsia" w:ascii="Times New Roman" w:hAnsi="Times New Roman" w:eastAsia="宋体" w:cstheme="minorEastAsia"/>
          <w:color w:val="auto"/>
          <w:kern w:val="0"/>
          <w:sz w:val="21"/>
          <w:szCs w:val="24"/>
          <w:lang w:val="en-US" w:eastAsia="zh-CN"/>
        </w:rPr>
        <w:t xml:space="preserve">   </w:t>
      </w:r>
      <w:r>
        <w:rPr>
          <w:rFonts w:hint="eastAsia" w:ascii="Times New Roman" w:hAnsi="Times New Roman" w:eastAsia="宋体" w:cstheme="minorEastAsia"/>
          <w:color w:val="auto"/>
          <w:kern w:val="0"/>
          <w:sz w:val="21"/>
          <w:szCs w:val="24"/>
        </w:rPr>
        <w:t>北京，首都医科大学康复医学院</w:t>
      </w:r>
      <w:r>
        <w:rPr>
          <w:rFonts w:hint="eastAsia" w:ascii="Times New Roman" w:hAnsi="Times New Roman" w:eastAsia="宋体" w:cstheme="minorEastAsia"/>
          <w:color w:val="auto"/>
          <w:kern w:val="0"/>
          <w:sz w:val="21"/>
          <w:szCs w:val="24"/>
        </w:rPr>
        <w:fldChar w:fldCharType="end"/>
      </w:r>
      <w:r>
        <w:rPr>
          <w:rFonts w:hint="eastAsia" w:ascii="Times New Roman" w:hAnsi="Times New Roman" w:eastAsia="宋体" w:cstheme="minorEastAsia"/>
          <w:color w:val="auto"/>
          <w:sz w:val="21"/>
          <w:szCs w:val="24"/>
          <w:vertAlign w:val="superscript"/>
        </w:rPr>
        <w:t>1</w:t>
      </w:r>
      <w:r>
        <w:rPr>
          <w:rFonts w:hint="eastAsia" w:ascii="Times New Roman" w:hAnsi="Times New Roman" w:eastAsia="宋体" w:cstheme="minorEastAsia"/>
          <w:color w:val="auto"/>
          <w:kern w:val="0"/>
          <w:sz w:val="21"/>
          <w:szCs w:val="24"/>
        </w:rPr>
        <w:t>；</w:t>
      </w:r>
      <w:r>
        <w:rPr>
          <w:rFonts w:hint="eastAsia" w:ascii="Times New Roman" w:hAnsi="Times New Roman" w:eastAsia="宋体" w:cstheme="minorEastAsia"/>
          <w:color w:val="auto"/>
          <w:kern w:val="0"/>
          <w:sz w:val="21"/>
          <w:szCs w:val="24"/>
        </w:rPr>
        <w:fldChar w:fldCharType="begin"/>
      </w:r>
      <w:r>
        <w:rPr>
          <w:rFonts w:hint="eastAsia" w:ascii="Times New Roman" w:hAnsi="Times New Roman" w:eastAsia="宋体" w:cstheme="minorEastAsia"/>
          <w:color w:val="auto"/>
          <w:kern w:val="0"/>
          <w:sz w:val="21"/>
          <w:szCs w:val="24"/>
        </w:rPr>
        <w:instrText xml:space="preserve"> HYPERLINK "https://kns-cnki-net-443.webvpn.ccmu.edu.cn/kcms2/organ/detail?v=RN_8baVbY4dSzcXpYyeNiORAYiqNEzZVu6tMIq_r84bUwYzGzEsJELJVCWhMLRXJ_04eQBe5Mo8lEvxGWcjAElFdioLVTlUl6KjfwO2FAMgzi76v20ukfeHQIOVDVybI-Yv9rNigbIFn7kmN73Osn8zkKIyF5tpgks_5QaAWeXjjveL6z2mv_5BxEyYKZWGoBMrJhXf6OZkSWGxdNQ-0ayMHHrLRL7hOTv3jRVa5ZlMK2uqHsoHgV6PI2t-EIOKVqDdnK9mw45kbM-3sw5PlbacMXIs63kRwDfAochgwpKeneHhIaJFd6Q==&amp;uniplatform=NZKPT&amp;language=CHS" \t "https://kns-cnki-net-443.webvpn.ccmu.edu.cn/kcms2/article/_blank" </w:instrText>
      </w:r>
      <w:r>
        <w:rPr>
          <w:rFonts w:hint="eastAsia" w:ascii="Times New Roman" w:hAnsi="Times New Roman" w:eastAsia="宋体" w:cstheme="minorEastAsia"/>
          <w:color w:val="auto"/>
          <w:kern w:val="0"/>
          <w:sz w:val="21"/>
          <w:szCs w:val="24"/>
        </w:rPr>
        <w:fldChar w:fldCharType="separate"/>
      </w:r>
      <w:r>
        <w:rPr>
          <w:rFonts w:hint="eastAsia" w:ascii="Times New Roman" w:hAnsi="Times New Roman" w:eastAsia="宋体" w:cstheme="minorEastAsia"/>
          <w:color w:val="auto"/>
          <w:kern w:val="0"/>
          <w:sz w:val="21"/>
          <w:szCs w:val="24"/>
        </w:rPr>
        <w:t>100068</w:t>
      </w:r>
      <w:r>
        <w:rPr>
          <w:rFonts w:hint="eastAsia" w:ascii="Times New Roman" w:hAnsi="Times New Roman" w:eastAsia="宋体" w:cstheme="minorEastAsia"/>
          <w:color w:val="auto"/>
          <w:kern w:val="0"/>
          <w:sz w:val="21"/>
          <w:szCs w:val="24"/>
          <w:lang w:val="en-US" w:eastAsia="zh-CN"/>
        </w:rPr>
        <w:t xml:space="preserve">   </w:t>
      </w:r>
      <w:r>
        <w:rPr>
          <w:rFonts w:hint="eastAsia" w:ascii="Times New Roman" w:hAnsi="Times New Roman" w:eastAsia="宋体" w:cstheme="minorEastAsia"/>
          <w:color w:val="auto"/>
          <w:kern w:val="0"/>
          <w:sz w:val="21"/>
          <w:szCs w:val="24"/>
        </w:rPr>
        <w:t>北京，中国康复研究中心北京博爱医院</w:t>
      </w:r>
      <w:r>
        <w:rPr>
          <w:rFonts w:hint="eastAsia" w:ascii="Times New Roman" w:hAnsi="Times New Roman" w:eastAsia="宋体" w:cstheme="minorEastAsia"/>
          <w:color w:val="auto"/>
          <w:kern w:val="0"/>
          <w:sz w:val="21"/>
          <w:szCs w:val="24"/>
          <w:highlight w:val="none"/>
        </w:rPr>
        <w:t>神经内科</w:t>
      </w:r>
      <w:r>
        <w:rPr>
          <w:rFonts w:hint="eastAsia" w:ascii="Times New Roman" w:hAnsi="Times New Roman" w:eastAsia="宋体" w:cstheme="minorEastAsia"/>
          <w:color w:val="auto"/>
          <w:sz w:val="21"/>
          <w:szCs w:val="24"/>
          <w:vertAlign w:val="superscript"/>
        </w:rPr>
        <w:t>2</w:t>
      </w:r>
    </w:p>
    <w:p w14:paraId="7A7A9A6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heme="minorEastAsia"/>
          <w:color w:val="auto"/>
          <w:kern w:val="0"/>
          <w:sz w:val="21"/>
          <w:szCs w:val="24"/>
        </w:rPr>
      </w:pPr>
      <w:r>
        <w:rPr>
          <w:rFonts w:hint="eastAsia" w:ascii="Times New Roman" w:hAnsi="Times New Roman" w:eastAsia="宋体" w:cstheme="minorEastAsia"/>
          <w:color w:val="auto"/>
          <w:kern w:val="0"/>
          <w:sz w:val="21"/>
          <w:szCs w:val="24"/>
        </w:rPr>
        <w:fldChar w:fldCharType="end"/>
      </w:r>
      <w:r>
        <w:rPr>
          <w:rFonts w:hint="eastAsia" w:ascii="Times New Roman" w:hAnsi="Times New Roman" w:eastAsia="宋体" w:cstheme="minorEastAsia"/>
          <w:color w:val="auto"/>
          <w:kern w:val="0"/>
          <w:sz w:val="21"/>
          <w:szCs w:val="24"/>
        </w:rPr>
        <w:t>通</w:t>
      </w:r>
      <w:r>
        <w:rPr>
          <w:rFonts w:hint="eastAsia" w:ascii="Times New Roman" w:hAnsi="Times New Roman" w:eastAsia="宋体" w:cstheme="minorEastAsia"/>
          <w:color w:val="auto"/>
          <w:kern w:val="0"/>
          <w:sz w:val="21"/>
          <w:szCs w:val="24"/>
          <w:lang w:val="en-US" w:eastAsia="zh-CN"/>
        </w:rPr>
        <w:t>信</w:t>
      </w:r>
      <w:r>
        <w:rPr>
          <w:rFonts w:hint="eastAsia" w:ascii="Times New Roman" w:hAnsi="Times New Roman" w:eastAsia="宋体" w:cstheme="minorEastAsia"/>
          <w:color w:val="auto"/>
          <w:kern w:val="0"/>
          <w:sz w:val="21"/>
          <w:szCs w:val="24"/>
        </w:rPr>
        <w:t>作者：张通，</w:t>
      </w:r>
      <w:r>
        <w:rPr>
          <w:rFonts w:ascii="Times New Roman" w:hAnsi="Times New Roman" w:eastAsia="宋体"/>
          <w:color w:val="auto"/>
          <w:kern w:val="0"/>
          <w:sz w:val="21"/>
          <w:szCs w:val="24"/>
        </w:rPr>
        <w:t>Email</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tommzhang@16</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com</w:t>
      </w:r>
    </w:p>
    <w:p w14:paraId="2288606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2" w:firstLineChars="200"/>
        <w:rPr>
          <w:rFonts w:ascii="Times New Roman" w:hAnsi="Times New Roman" w:eastAsia="宋体"/>
          <w:color w:val="auto"/>
          <w:kern w:val="0"/>
          <w:sz w:val="21"/>
          <w:szCs w:val="24"/>
        </w:rPr>
      </w:pPr>
      <w:r>
        <w:rPr>
          <w:rFonts w:hint="eastAsia" w:ascii="Times New Roman" w:hAnsi="Times New Roman" w:eastAsia="宋体"/>
          <w:b/>
          <w:bCs/>
          <w:color w:val="auto"/>
          <w:kern w:val="0"/>
          <w:sz w:val="21"/>
          <w:szCs w:val="24"/>
        </w:rPr>
        <w:t>【</w:t>
      </w:r>
      <w:r>
        <w:rPr>
          <w:rFonts w:ascii="Times New Roman" w:hAnsi="Times New Roman" w:eastAsia="宋体"/>
          <w:b/>
          <w:bCs/>
          <w:color w:val="auto"/>
          <w:kern w:val="0"/>
          <w:sz w:val="21"/>
          <w:szCs w:val="24"/>
        </w:rPr>
        <w:t>摘要</w:t>
      </w:r>
      <w:r>
        <w:rPr>
          <w:rFonts w:hint="eastAsia" w:ascii="Times New Roman" w:hAnsi="Times New Roman" w:eastAsia="宋体"/>
          <w:b/>
          <w:bCs/>
          <w:color w:val="auto"/>
          <w:kern w:val="0"/>
          <w:sz w:val="21"/>
          <w:szCs w:val="24"/>
        </w:rPr>
        <w:t>】</w:t>
      </w:r>
      <w:r>
        <w:rPr>
          <w:rFonts w:ascii="Times New Roman" w:hAnsi="Times New Roman" w:eastAsia="宋体"/>
          <w:b/>
          <w:bCs/>
          <w:color w:val="auto"/>
          <w:kern w:val="0"/>
          <w:sz w:val="21"/>
          <w:szCs w:val="24"/>
        </w:rPr>
        <w:t>目的</w:t>
      </w:r>
      <w:r>
        <w:rPr>
          <w:rFonts w:hint="eastAsia" w:ascii="Times New Roman" w:hAnsi="Times New Roman" w:eastAsia="宋体"/>
          <w:b/>
          <w:bCs/>
          <w:color w:val="auto"/>
          <w:kern w:val="0"/>
          <w:sz w:val="21"/>
          <w:szCs w:val="24"/>
          <w:lang w:val="en-US" w:eastAsia="zh-CN"/>
        </w:rPr>
        <w:t xml:space="preserve"> </w:t>
      </w:r>
      <w:r>
        <w:rPr>
          <w:rFonts w:ascii="Times New Roman" w:hAnsi="Times New Roman" w:eastAsia="宋体"/>
          <w:color w:val="auto"/>
          <w:kern w:val="0"/>
          <w:sz w:val="21"/>
          <w:szCs w:val="24"/>
        </w:rPr>
        <w:t>分析脑卒中患者骨盆偏瘫侧和非偏瘫侧之间的不对称性，分析连续步行中骨盆偏瘫侧和非偏瘫侧不对称的渐进变化趋势。</w:t>
      </w:r>
      <w:r>
        <w:rPr>
          <w:rFonts w:ascii="Times New Roman" w:hAnsi="Times New Roman" w:eastAsia="宋体"/>
          <w:b/>
          <w:bCs/>
          <w:color w:val="auto"/>
          <w:kern w:val="0"/>
          <w:sz w:val="21"/>
          <w:szCs w:val="24"/>
        </w:rPr>
        <w:t>方法</w:t>
      </w:r>
      <w:r>
        <w:rPr>
          <w:rFonts w:hint="eastAsia" w:ascii="Times New Roman" w:hAnsi="Times New Roman" w:eastAsia="宋体"/>
          <w:b/>
          <w:bCs/>
          <w:color w:val="auto"/>
          <w:kern w:val="0"/>
          <w:sz w:val="21"/>
          <w:szCs w:val="24"/>
        </w:rPr>
        <w:t xml:space="preserve"> </w:t>
      </w:r>
      <w:r>
        <w:rPr>
          <w:rFonts w:ascii="Times New Roman" w:hAnsi="Times New Roman" w:eastAsia="宋体"/>
          <w:color w:val="auto"/>
          <w:kern w:val="0"/>
          <w:sz w:val="21"/>
          <w:szCs w:val="24"/>
        </w:rPr>
        <w:t>收集2020年10月</w:t>
      </w:r>
      <w:r>
        <w:rPr>
          <w:rFonts w:hint="eastAsia" w:ascii="Times New Roman" w:hAnsi="Times New Roman" w:eastAsia="宋体"/>
          <w:color w:val="auto"/>
          <w:kern w:val="0"/>
          <w:sz w:val="21"/>
          <w:szCs w:val="24"/>
          <w:lang w:val="en-US" w:eastAsia="zh-CN"/>
        </w:rPr>
        <w:t>至</w:t>
      </w:r>
      <w:r>
        <w:rPr>
          <w:rFonts w:ascii="Times New Roman" w:hAnsi="Times New Roman" w:eastAsia="宋体"/>
          <w:color w:val="auto"/>
          <w:kern w:val="0"/>
          <w:sz w:val="21"/>
          <w:szCs w:val="24"/>
        </w:rPr>
        <w:t>2022年9月</w:t>
      </w:r>
      <w:r>
        <w:rPr>
          <w:rFonts w:hint="eastAsia" w:ascii="Times New Roman" w:hAnsi="Times New Roman" w:eastAsia="宋体" w:cstheme="minorEastAsia"/>
          <w:color w:val="auto"/>
          <w:kern w:val="0"/>
          <w:sz w:val="21"/>
          <w:szCs w:val="24"/>
        </w:rPr>
        <w:t>中国康复研究中心</w:t>
      </w:r>
      <w:r>
        <w:rPr>
          <w:rFonts w:ascii="Times New Roman" w:hAnsi="Times New Roman" w:eastAsia="宋体"/>
          <w:color w:val="auto"/>
          <w:kern w:val="0"/>
          <w:sz w:val="21"/>
          <w:szCs w:val="24"/>
        </w:rPr>
        <w:t>北京博爱医院</w:t>
      </w:r>
      <w:r>
        <w:rPr>
          <w:rFonts w:ascii="Times New Roman" w:hAnsi="Times New Roman" w:eastAsia="宋体"/>
          <w:color w:val="auto"/>
          <w:kern w:val="0"/>
          <w:sz w:val="21"/>
          <w:szCs w:val="24"/>
          <w:highlight w:val="none"/>
        </w:rPr>
        <w:t>神经</w:t>
      </w:r>
      <w:r>
        <w:rPr>
          <w:rFonts w:hint="eastAsia" w:ascii="Times New Roman" w:hAnsi="Times New Roman" w:eastAsia="宋体"/>
          <w:color w:val="auto"/>
          <w:kern w:val="0"/>
          <w:sz w:val="21"/>
          <w:szCs w:val="24"/>
          <w:highlight w:val="none"/>
          <w:lang w:val="en-US" w:eastAsia="zh-CN"/>
        </w:rPr>
        <w:t>内</w:t>
      </w:r>
      <w:r>
        <w:rPr>
          <w:rFonts w:ascii="Times New Roman" w:hAnsi="Times New Roman" w:eastAsia="宋体"/>
          <w:color w:val="auto"/>
          <w:kern w:val="0"/>
          <w:sz w:val="21"/>
          <w:szCs w:val="24"/>
          <w:highlight w:val="none"/>
        </w:rPr>
        <w:t>科</w:t>
      </w:r>
      <w:r>
        <w:rPr>
          <w:rFonts w:ascii="Times New Roman" w:hAnsi="Times New Roman" w:eastAsia="宋体"/>
          <w:color w:val="auto"/>
          <w:kern w:val="0"/>
          <w:sz w:val="21"/>
          <w:szCs w:val="24"/>
        </w:rPr>
        <w:t>收治的脑卒中患者25例。入组患者接受三维步态分析，步态任务为连续步行最长距离。</w:t>
      </w:r>
      <w:r>
        <w:rPr>
          <w:rFonts w:hint="eastAsia" w:ascii="Times New Roman" w:hAnsi="Times New Roman" w:eastAsia="宋体"/>
          <w:color w:val="auto"/>
          <w:kern w:val="0"/>
          <w:sz w:val="21"/>
          <w:szCs w:val="24"/>
        </w:rPr>
        <w:t>整个步行数据分为步行初期、步行中期、步行末期。</w:t>
      </w:r>
      <w:r>
        <w:rPr>
          <w:rFonts w:ascii="Times New Roman" w:hAnsi="Times New Roman" w:eastAsia="宋体"/>
          <w:color w:val="auto"/>
          <w:kern w:val="0"/>
          <w:sz w:val="21"/>
          <w:szCs w:val="24"/>
        </w:rPr>
        <w:t>弃去前3个步行周期</w:t>
      </w:r>
      <w:r>
        <w:rPr>
          <w:rFonts w:hint="eastAsia" w:ascii="Times New Roman" w:hAnsi="Times New Roman" w:eastAsia="宋体"/>
          <w:color w:val="auto"/>
          <w:kern w:val="0"/>
          <w:sz w:val="21"/>
          <w:szCs w:val="24"/>
        </w:rPr>
        <w:t>，步行初期</w:t>
      </w:r>
      <w:r>
        <w:rPr>
          <w:rFonts w:ascii="Times New Roman" w:hAnsi="Times New Roman" w:eastAsia="宋体"/>
          <w:color w:val="auto"/>
          <w:kern w:val="0"/>
          <w:sz w:val="21"/>
          <w:szCs w:val="24"/>
        </w:rPr>
        <w:t>骨盆角度</w:t>
      </w:r>
      <w:r>
        <w:rPr>
          <w:rFonts w:hint="eastAsia" w:ascii="Times New Roman" w:hAnsi="Times New Roman" w:eastAsia="宋体"/>
          <w:color w:val="auto"/>
          <w:kern w:val="0"/>
          <w:sz w:val="21"/>
          <w:szCs w:val="24"/>
        </w:rPr>
        <w:t>1</w:t>
      </w:r>
      <w:r>
        <w:rPr>
          <w:rFonts w:ascii="Times New Roman" w:hAnsi="Times New Roman" w:eastAsia="宋体"/>
          <w:color w:val="auto"/>
          <w:kern w:val="0"/>
          <w:sz w:val="21"/>
          <w:szCs w:val="24"/>
        </w:rPr>
        <w:t>（A</w:t>
      </w:r>
      <w:r>
        <w:rPr>
          <w:rFonts w:ascii="Times New Roman" w:hAnsi="Times New Roman" w:eastAsia="宋体"/>
          <w:color w:val="auto"/>
          <w:kern w:val="0"/>
          <w:sz w:val="21"/>
          <w:szCs w:val="24"/>
          <w:vertAlign w:val="subscript"/>
        </w:rPr>
        <w:t>1</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为第4</w:t>
      </w:r>
      <w:r>
        <w:rPr>
          <w:rFonts w:hint="eastAsia" w:ascii="Times New Roman" w:hAnsi="Times New Roman" w:eastAsia="宋体" w:cs="楷体"/>
          <w:color w:val="auto"/>
          <w:kern w:val="0"/>
          <w:sz w:val="21"/>
          <w:szCs w:val="24"/>
          <w:lang w:eastAsia="zh-CN"/>
        </w:rPr>
        <w:t>~</w:t>
      </w:r>
      <w:r>
        <w:rPr>
          <w:rFonts w:hint="eastAsia" w:ascii="Times New Roman" w:hAnsi="Times New Roman" w:eastAsia="宋体"/>
          <w:color w:val="auto"/>
          <w:kern w:val="0"/>
          <w:sz w:val="21"/>
          <w:szCs w:val="24"/>
        </w:rPr>
        <w:t>6个</w:t>
      </w:r>
      <w:r>
        <w:rPr>
          <w:rFonts w:ascii="Times New Roman" w:hAnsi="Times New Roman" w:eastAsia="宋体"/>
          <w:color w:val="auto"/>
          <w:kern w:val="0"/>
          <w:sz w:val="21"/>
          <w:szCs w:val="24"/>
        </w:rPr>
        <w:t>步行周期的</w:t>
      </w:r>
      <w:r>
        <w:rPr>
          <w:rFonts w:hint="eastAsia" w:ascii="Times New Roman" w:hAnsi="Times New Roman" w:eastAsia="宋体"/>
          <w:color w:val="auto"/>
          <w:kern w:val="0"/>
          <w:sz w:val="21"/>
          <w:szCs w:val="24"/>
        </w:rPr>
        <w:t>均值</w:t>
      </w:r>
      <w:r>
        <w:rPr>
          <w:rFonts w:ascii="Times New Roman" w:hAnsi="Times New Roman" w:eastAsia="宋体"/>
          <w:color w:val="auto"/>
          <w:kern w:val="0"/>
          <w:sz w:val="21"/>
          <w:szCs w:val="24"/>
        </w:rPr>
        <w:t>，步行末期A</w:t>
      </w:r>
      <w:r>
        <w:rPr>
          <w:rFonts w:ascii="Times New Roman" w:hAnsi="Times New Roman" w:eastAsia="宋体"/>
          <w:color w:val="auto"/>
          <w:kern w:val="0"/>
          <w:sz w:val="21"/>
          <w:szCs w:val="24"/>
          <w:vertAlign w:val="subscript"/>
        </w:rPr>
        <w:t>3</w:t>
      </w:r>
      <w:r>
        <w:rPr>
          <w:rFonts w:hint="eastAsia" w:ascii="Times New Roman" w:hAnsi="Times New Roman" w:eastAsia="宋体"/>
          <w:color w:val="auto"/>
          <w:kern w:val="0"/>
          <w:sz w:val="21"/>
          <w:szCs w:val="24"/>
        </w:rPr>
        <w:t>为</w:t>
      </w:r>
      <w:r>
        <w:rPr>
          <w:rFonts w:ascii="Times New Roman" w:hAnsi="Times New Roman" w:eastAsia="宋体"/>
          <w:color w:val="auto"/>
          <w:kern w:val="0"/>
          <w:sz w:val="21"/>
          <w:szCs w:val="24"/>
        </w:rPr>
        <w:t>步行停止前3个步行周期的</w:t>
      </w:r>
      <w:r>
        <w:rPr>
          <w:rFonts w:hint="eastAsia" w:ascii="Times New Roman" w:hAnsi="Times New Roman" w:eastAsia="宋体"/>
          <w:color w:val="auto"/>
          <w:kern w:val="0"/>
          <w:sz w:val="21"/>
          <w:szCs w:val="24"/>
        </w:rPr>
        <w:t>均值</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步行中期A</w:t>
      </w:r>
      <w:r>
        <w:rPr>
          <w:rFonts w:hint="eastAsia" w:ascii="Times New Roman" w:hAnsi="Times New Roman" w:eastAsia="宋体"/>
          <w:color w:val="auto"/>
          <w:kern w:val="0"/>
          <w:sz w:val="21"/>
          <w:szCs w:val="24"/>
          <w:vertAlign w:val="subscript"/>
        </w:rPr>
        <w:t>2</w:t>
      </w:r>
      <w:r>
        <w:rPr>
          <w:rFonts w:hint="eastAsia" w:ascii="Times New Roman" w:hAnsi="Times New Roman" w:eastAsia="宋体"/>
          <w:color w:val="auto"/>
          <w:kern w:val="0"/>
          <w:sz w:val="21"/>
          <w:szCs w:val="24"/>
        </w:rPr>
        <w:t>为</w:t>
      </w:r>
      <w:r>
        <w:rPr>
          <w:rFonts w:ascii="Times New Roman" w:hAnsi="Times New Roman" w:eastAsia="宋体"/>
          <w:color w:val="auto"/>
          <w:kern w:val="0"/>
          <w:sz w:val="21"/>
          <w:szCs w:val="24"/>
        </w:rPr>
        <w:t>A</w:t>
      </w:r>
      <w:r>
        <w:rPr>
          <w:rFonts w:ascii="Times New Roman" w:hAnsi="Times New Roman" w:eastAsia="宋体"/>
          <w:color w:val="auto"/>
          <w:kern w:val="0"/>
          <w:sz w:val="21"/>
          <w:szCs w:val="24"/>
          <w:vertAlign w:val="subscript"/>
        </w:rPr>
        <w:t>1</w:t>
      </w:r>
      <w:r>
        <w:rPr>
          <w:rFonts w:hint="eastAsia" w:ascii="Times New Roman" w:hAnsi="Times New Roman" w:eastAsia="宋体"/>
          <w:color w:val="auto"/>
          <w:kern w:val="0"/>
          <w:sz w:val="21"/>
          <w:szCs w:val="24"/>
        </w:rPr>
        <w:t>和</w:t>
      </w:r>
      <w:r>
        <w:rPr>
          <w:rFonts w:ascii="Times New Roman" w:hAnsi="Times New Roman" w:eastAsia="宋体"/>
          <w:color w:val="auto"/>
          <w:kern w:val="0"/>
          <w:sz w:val="21"/>
          <w:szCs w:val="24"/>
        </w:rPr>
        <w:t>A</w:t>
      </w:r>
      <w:r>
        <w:rPr>
          <w:rFonts w:ascii="Times New Roman" w:hAnsi="Times New Roman" w:eastAsia="宋体"/>
          <w:color w:val="auto"/>
          <w:kern w:val="0"/>
          <w:sz w:val="21"/>
          <w:szCs w:val="24"/>
          <w:vertAlign w:val="subscript"/>
        </w:rPr>
        <w:t>3</w:t>
      </w:r>
      <w:r>
        <w:rPr>
          <w:rFonts w:hint="eastAsia" w:ascii="Times New Roman" w:hAnsi="Times New Roman" w:eastAsia="宋体"/>
          <w:color w:val="auto"/>
          <w:kern w:val="0"/>
          <w:sz w:val="21"/>
          <w:szCs w:val="24"/>
        </w:rPr>
        <w:t>中间的连续3个骨盆角度的均值</w:t>
      </w:r>
      <w:r>
        <w:rPr>
          <w:rFonts w:ascii="Times New Roman" w:hAnsi="Times New Roman" w:eastAsia="宋体"/>
          <w:color w:val="auto"/>
          <w:kern w:val="0"/>
          <w:sz w:val="21"/>
          <w:szCs w:val="24"/>
        </w:rPr>
        <w:t>；</w:t>
      </w:r>
      <w:r>
        <w:rPr>
          <w:rFonts w:ascii="Times New Roman" w:hAnsi="Times New Roman" w:eastAsia="宋体"/>
          <w:color w:val="auto"/>
          <w:kern w:val="0"/>
          <w:sz w:val="21"/>
          <w:szCs w:val="24"/>
          <w:highlight w:val="none"/>
        </w:rPr>
        <w:t>根据步行</w:t>
      </w:r>
      <w:r>
        <w:rPr>
          <w:rFonts w:hint="eastAsia" w:ascii="Times New Roman" w:hAnsi="Times New Roman" w:eastAsia="宋体"/>
          <w:color w:val="auto"/>
          <w:kern w:val="0"/>
          <w:sz w:val="21"/>
          <w:szCs w:val="24"/>
          <w:highlight w:val="none"/>
          <w:lang w:val="en-US" w:eastAsia="zh-CN"/>
        </w:rPr>
        <w:t>距离</w:t>
      </w:r>
      <w:r>
        <w:rPr>
          <w:rFonts w:ascii="Times New Roman" w:hAnsi="Times New Roman" w:eastAsia="宋体"/>
          <w:color w:val="auto"/>
          <w:kern w:val="0"/>
          <w:sz w:val="21"/>
          <w:szCs w:val="24"/>
          <w:highlight w:val="none"/>
        </w:rPr>
        <w:t>分为室内步行</w:t>
      </w:r>
      <w:r>
        <w:rPr>
          <w:rFonts w:hint="eastAsia" w:ascii="Times New Roman" w:hAnsi="Times New Roman" w:eastAsia="宋体"/>
          <w:color w:val="auto"/>
          <w:kern w:val="0"/>
          <w:sz w:val="21"/>
          <w:szCs w:val="24"/>
          <w:highlight w:val="none"/>
        </w:rPr>
        <w:t>组</w:t>
      </w:r>
      <w:r>
        <w:rPr>
          <w:rFonts w:ascii="Times New Roman" w:hAnsi="Times New Roman" w:eastAsia="宋体"/>
          <w:color w:val="auto"/>
          <w:kern w:val="0"/>
          <w:sz w:val="21"/>
          <w:szCs w:val="24"/>
          <w:highlight w:val="none"/>
        </w:rPr>
        <w:t>（步行距离50</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200</w:t>
      </w:r>
      <w:r>
        <w:rPr>
          <w:rFonts w:hint="eastAsia" w:ascii="Times New Roman" w:hAnsi="Times New Roman" w:eastAsia="宋体"/>
          <w:color w:val="auto"/>
          <w:kern w:val="0"/>
          <w:sz w:val="21"/>
          <w:szCs w:val="24"/>
          <w:highlight w:val="none"/>
          <w:lang w:val="en-US" w:eastAsia="zh-CN"/>
        </w:rPr>
        <w:t xml:space="preserve"> m</w:t>
      </w:r>
      <w:r>
        <w:rPr>
          <w:rFonts w:ascii="Times New Roman" w:hAnsi="Times New Roman" w:eastAsia="宋体"/>
          <w:color w:val="auto"/>
          <w:kern w:val="0"/>
          <w:sz w:val="21"/>
          <w:szCs w:val="24"/>
          <w:highlight w:val="none"/>
        </w:rPr>
        <w:t>）和室外步行</w:t>
      </w:r>
      <w:r>
        <w:rPr>
          <w:rFonts w:hint="eastAsia" w:ascii="Times New Roman" w:hAnsi="Times New Roman" w:eastAsia="宋体"/>
          <w:color w:val="auto"/>
          <w:kern w:val="0"/>
          <w:sz w:val="21"/>
          <w:szCs w:val="24"/>
          <w:highlight w:val="none"/>
        </w:rPr>
        <w:t>组</w:t>
      </w:r>
      <w:r>
        <w:rPr>
          <w:rFonts w:ascii="Times New Roman" w:hAnsi="Times New Roman" w:eastAsia="宋体"/>
          <w:color w:val="auto"/>
          <w:kern w:val="0"/>
          <w:sz w:val="21"/>
          <w:szCs w:val="24"/>
          <w:highlight w:val="none"/>
        </w:rPr>
        <w:t>（步行距离</w:t>
      </w:r>
      <w:r>
        <w:rPr>
          <w:rFonts w:hint="eastAsia" w:ascii="Times New Roman" w:hAnsi="Times New Roman" w:eastAsia="宋体"/>
          <w:color w:val="auto"/>
          <w:kern w:val="0"/>
          <w:sz w:val="21"/>
          <w:szCs w:val="24"/>
          <w:highlight w:val="none"/>
        </w:rPr>
        <w:t>&gt;</w:t>
      </w:r>
      <w:r>
        <w:rPr>
          <w:rFonts w:ascii="Times New Roman" w:hAnsi="Times New Roman" w:eastAsia="宋体"/>
          <w:color w:val="auto"/>
          <w:kern w:val="0"/>
          <w:sz w:val="21"/>
          <w:szCs w:val="24"/>
          <w:highlight w:val="none"/>
        </w:rPr>
        <w:t>200</w:t>
      </w:r>
      <w:r>
        <w:rPr>
          <w:rFonts w:hint="eastAsia" w:ascii="Times New Roman" w:hAnsi="Times New Roman" w:eastAsia="宋体"/>
          <w:color w:val="auto"/>
          <w:kern w:val="0"/>
          <w:sz w:val="21"/>
          <w:szCs w:val="24"/>
          <w:highlight w:val="none"/>
          <w:lang w:val="en-US" w:eastAsia="zh-CN"/>
        </w:rPr>
        <w:t xml:space="preserve"> m</w:t>
      </w:r>
      <w:r>
        <w:rPr>
          <w:rFonts w:ascii="Times New Roman" w:hAnsi="Times New Roman" w:eastAsia="宋体"/>
          <w:color w:val="auto"/>
          <w:kern w:val="0"/>
          <w:sz w:val="21"/>
          <w:szCs w:val="24"/>
          <w:highlight w:val="none"/>
        </w:rPr>
        <w:t>）。</w:t>
      </w:r>
      <w:r>
        <w:rPr>
          <w:rFonts w:ascii="Times New Roman" w:hAnsi="Times New Roman" w:eastAsia="宋体"/>
          <w:color w:val="auto"/>
          <w:kern w:val="0"/>
          <w:sz w:val="21"/>
          <w:szCs w:val="24"/>
        </w:rPr>
        <w:t>分析骨盆三轴（X轴前倾/后倾，Y轴向上侧倾/向下侧倾，Z轴旋内/旋外）偏瘫侧和非偏瘫侧关节角度的差异；分析连续步行中骨盆三轴关节角度的渐进变化趋势；分析不同步行能力患者骨盆三轴关节角度渐进性变化趋势的差异。</w:t>
      </w:r>
      <w:r>
        <w:rPr>
          <w:rFonts w:ascii="Times New Roman" w:hAnsi="Times New Roman" w:eastAsia="宋体"/>
          <w:b/>
          <w:bCs/>
          <w:color w:val="auto"/>
          <w:kern w:val="0"/>
          <w:sz w:val="21"/>
          <w:szCs w:val="24"/>
        </w:rPr>
        <w:t>结果</w:t>
      </w:r>
      <w:r>
        <w:rPr>
          <w:rFonts w:hint="eastAsia" w:ascii="Times New Roman" w:hAnsi="Times New Roman" w:eastAsia="宋体"/>
          <w:b/>
          <w:bCs/>
          <w:color w:val="auto"/>
          <w:kern w:val="0"/>
          <w:sz w:val="21"/>
          <w:szCs w:val="24"/>
          <w:lang w:val="en-US" w:eastAsia="zh-CN"/>
        </w:rPr>
        <w:t xml:space="preserve"> </w:t>
      </w:r>
      <w:r>
        <w:rPr>
          <w:rFonts w:hint="eastAsia" w:ascii="Times New Roman" w:hAnsi="Times New Roman" w:eastAsia="宋体"/>
          <w:b w:val="0"/>
          <w:bCs w:val="0"/>
          <w:color w:val="auto"/>
          <w:kern w:val="0"/>
          <w:sz w:val="21"/>
          <w:szCs w:val="24"/>
          <w:lang w:val="en-US" w:eastAsia="zh-CN"/>
        </w:rPr>
        <w:t>在</w:t>
      </w:r>
      <w:r>
        <w:rPr>
          <w:rFonts w:ascii="Times New Roman" w:hAnsi="Times New Roman" w:eastAsia="宋体"/>
          <w:color w:val="auto"/>
          <w:kern w:val="0"/>
          <w:sz w:val="21"/>
          <w:szCs w:val="24"/>
        </w:rPr>
        <w:t>整个步行周期</w:t>
      </w:r>
      <w:r>
        <w:rPr>
          <w:rFonts w:hint="eastAsia" w:ascii="Times New Roman" w:hAnsi="Times New Roman" w:eastAsia="宋体"/>
          <w:color w:val="auto"/>
          <w:kern w:val="0"/>
          <w:sz w:val="21"/>
          <w:szCs w:val="24"/>
          <w:lang w:eastAsia="zh-CN"/>
        </w:rPr>
        <w:t>中，</w:t>
      </w:r>
      <w:r>
        <w:rPr>
          <w:rFonts w:ascii="Times New Roman" w:hAnsi="Times New Roman" w:eastAsia="宋体"/>
          <w:color w:val="auto"/>
          <w:kern w:val="0"/>
          <w:sz w:val="21"/>
          <w:szCs w:val="24"/>
        </w:rPr>
        <w:t>骨盆偏瘫侧和非偏瘫侧</w:t>
      </w:r>
      <w:r>
        <w:rPr>
          <w:rFonts w:hint="eastAsia" w:ascii="Times New Roman" w:hAnsi="Times New Roman" w:eastAsia="宋体"/>
          <w:color w:val="auto"/>
          <w:kern w:val="0"/>
          <w:sz w:val="21"/>
          <w:szCs w:val="24"/>
          <w:lang w:eastAsia="zh-CN"/>
        </w:rPr>
        <w:t>的</w:t>
      </w:r>
      <w:r>
        <w:rPr>
          <w:rFonts w:ascii="Times New Roman" w:hAnsi="Times New Roman" w:eastAsia="宋体"/>
          <w:color w:val="auto"/>
          <w:kern w:val="0"/>
          <w:sz w:val="21"/>
          <w:szCs w:val="24"/>
        </w:rPr>
        <w:t>最大前倾</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bidi="ar"/>
        </w:rPr>
        <w:t>t</w:t>
      </w:r>
      <w:r>
        <w:rPr>
          <w:rFonts w:ascii="Times New Roman" w:hAnsi="Times New Roman" w:eastAsia="宋体"/>
          <w:color w:val="auto"/>
          <w:kern w:val="0"/>
          <w:sz w:val="21"/>
          <w:szCs w:val="24"/>
        </w:rPr>
        <w:t>=</w:t>
      </w:r>
      <w:r>
        <w:rPr>
          <w:rFonts w:hint="eastAsia" w:ascii="Times New Roman" w:hAnsi="Times New Roman" w:eastAsia="宋体" w:cs="Times New Roman"/>
          <w:color w:val="auto"/>
          <w:kern w:val="0"/>
          <w:sz w:val="21"/>
          <w:szCs w:val="24"/>
          <w:lang w:val="en-US" w:eastAsia="zh-CN" w:bidi="ar-SA"/>
        </w:rPr>
        <w:t>2.614</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w:t>
      </w:r>
      <w:r>
        <w:rPr>
          <w:rFonts w:hint="eastAsia" w:ascii="Times New Roman" w:hAnsi="Times New Roman" w:eastAsia="宋体"/>
          <w:color w:val="auto"/>
          <w:kern w:val="0"/>
          <w:sz w:val="21"/>
          <w:szCs w:val="24"/>
          <w:lang w:val="en-US" w:eastAsia="zh-CN"/>
        </w:rPr>
        <w:t>1</w:t>
      </w:r>
      <w:r>
        <w:rPr>
          <w:rFonts w:hint="eastAsia" w:ascii="Times New Roman" w:hAnsi="Times New Roman" w:eastAsia="宋体" w:cs="宋体"/>
          <w:color w:val="auto"/>
          <w:kern w:val="0"/>
          <w:sz w:val="21"/>
          <w:szCs w:val="24"/>
        </w:rPr>
        <w:t>）</w:t>
      </w:r>
      <w:r>
        <w:rPr>
          <w:rFonts w:ascii="Times New Roman" w:hAnsi="Times New Roman" w:eastAsia="宋体"/>
          <w:color w:val="auto"/>
          <w:kern w:val="0"/>
          <w:sz w:val="21"/>
          <w:szCs w:val="24"/>
        </w:rPr>
        <w:t>、最大向上侧倾</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POA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rPr>
        <w:t>Z</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2.</w:t>
      </w:r>
      <w:r>
        <w:rPr>
          <w:rFonts w:ascii="Times New Roman" w:hAnsi="Times New Roman" w:eastAsia="宋体"/>
          <w:color w:val="auto"/>
          <w:kern w:val="0"/>
          <w:sz w:val="21"/>
          <w:szCs w:val="24"/>
        </w:rPr>
        <w:t>115，</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034）、步行初期骨盆前后倾斜范围</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ROM1</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t</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2.</w:t>
      </w:r>
      <w:r>
        <w:rPr>
          <w:rFonts w:ascii="Times New Roman" w:hAnsi="Times New Roman" w:eastAsia="宋体"/>
          <w:color w:val="auto"/>
          <w:kern w:val="0"/>
          <w:sz w:val="21"/>
          <w:szCs w:val="24"/>
        </w:rPr>
        <w:t>829，</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009）、步行末期与步行初期骨盆前后倾斜范围差值</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ROM3-1</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t</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263，</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003），组间差异</w:t>
      </w:r>
      <w:r>
        <w:rPr>
          <w:rFonts w:hint="eastAsia" w:ascii="Times New Roman" w:hAnsi="Times New Roman" w:eastAsia="宋体"/>
          <w:color w:val="auto"/>
          <w:kern w:val="0"/>
          <w:sz w:val="21"/>
          <w:szCs w:val="24"/>
          <w:lang w:eastAsia="zh-CN"/>
        </w:rPr>
        <w:t>均</w:t>
      </w:r>
      <w:r>
        <w:rPr>
          <w:rFonts w:ascii="Times New Roman" w:hAnsi="Times New Roman" w:eastAsia="宋体"/>
          <w:color w:val="auto"/>
          <w:kern w:val="0"/>
          <w:sz w:val="21"/>
          <w:szCs w:val="24"/>
        </w:rPr>
        <w:t>有</w:t>
      </w:r>
      <w:r>
        <w:rPr>
          <w:rFonts w:hint="eastAsia" w:ascii="Times New Roman" w:hAnsi="Times New Roman" w:eastAsia="宋体"/>
          <w:color w:val="auto"/>
          <w:kern w:val="0"/>
          <w:sz w:val="21"/>
          <w:szCs w:val="24"/>
          <w:lang w:val="en-US" w:eastAsia="zh-CN"/>
        </w:rPr>
        <w:t>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在</w:t>
      </w:r>
      <w:r>
        <w:rPr>
          <w:rFonts w:ascii="Times New Roman" w:hAnsi="Times New Roman" w:eastAsia="宋体"/>
          <w:color w:val="auto"/>
          <w:kern w:val="0"/>
          <w:sz w:val="21"/>
          <w:szCs w:val="24"/>
        </w:rPr>
        <w:t>连续步行中，偏瘫侧PTA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295，</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046）、前后倾斜</w:t>
      </w:r>
      <w:r>
        <w:rPr>
          <w:rFonts w:hint="eastAsia" w:ascii="Times New Roman" w:hAnsi="Times New Roman" w:eastAsia="宋体"/>
          <w:color w:val="auto"/>
          <w:kern w:val="0"/>
          <w:sz w:val="21"/>
          <w:szCs w:val="24"/>
        </w:rPr>
        <w:t>范围（</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4.</w:t>
      </w:r>
      <w:r>
        <w:rPr>
          <w:rFonts w:ascii="Times New Roman" w:hAnsi="Times New Roman" w:eastAsia="宋体"/>
          <w:color w:val="auto"/>
          <w:kern w:val="0"/>
          <w:sz w:val="21"/>
          <w:szCs w:val="24"/>
        </w:rPr>
        <w:t>374，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018）渐进增大，差异</w:t>
      </w:r>
      <w:r>
        <w:rPr>
          <w:rFonts w:hint="eastAsia" w:ascii="Times New Roman" w:hAnsi="Times New Roman" w:eastAsia="宋体"/>
          <w:color w:val="auto"/>
          <w:kern w:val="0"/>
          <w:sz w:val="21"/>
          <w:szCs w:val="24"/>
          <w:lang w:eastAsia="zh-CN"/>
        </w:rPr>
        <w:t>均</w:t>
      </w:r>
      <w:r>
        <w:rPr>
          <w:rFonts w:ascii="Times New Roman" w:hAnsi="Times New Roman" w:eastAsia="宋体"/>
          <w:color w:val="auto"/>
          <w:kern w:val="0"/>
          <w:sz w:val="21"/>
          <w:szCs w:val="24"/>
        </w:rPr>
        <w:t>有统计学意义</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进一步分析发现</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有统计学意义的渐进增大PTA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体现在室内步行组内（</w:t>
      </w:r>
      <w:r>
        <w:rPr>
          <w:rFonts w:ascii="Times New Roman" w:hAnsi="Times New Roman" w:eastAsia="宋体"/>
          <w:b w:val="0"/>
          <w:bCs w:val="0"/>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5.</w:t>
      </w:r>
      <w:r>
        <w:rPr>
          <w:rFonts w:ascii="Times New Roman" w:hAnsi="Times New Roman" w:eastAsia="宋体"/>
          <w:color w:val="auto"/>
          <w:kern w:val="0"/>
          <w:sz w:val="21"/>
          <w:szCs w:val="24"/>
        </w:rPr>
        <w:t>83</w:t>
      </w:r>
      <w:r>
        <w:rPr>
          <w:rFonts w:hint="eastAsia" w:ascii="Times New Roman" w:hAnsi="Times New Roman" w:eastAsia="宋体"/>
          <w:color w:val="auto"/>
          <w:kern w:val="0"/>
          <w:sz w:val="21"/>
          <w:szCs w:val="24"/>
          <w:lang w:val="en-US" w:eastAsia="zh-CN"/>
        </w:rPr>
        <w:t>0</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009）、PTA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体现</w:t>
      </w:r>
      <w:r>
        <w:rPr>
          <w:rFonts w:hint="eastAsia" w:ascii="Times New Roman" w:hAnsi="Times New Roman" w:eastAsia="宋体"/>
          <w:color w:val="auto"/>
          <w:kern w:val="0"/>
          <w:sz w:val="21"/>
          <w:szCs w:val="24"/>
        </w:rPr>
        <w:t>在</w:t>
      </w:r>
      <w:r>
        <w:rPr>
          <w:rFonts w:ascii="Times New Roman" w:hAnsi="Times New Roman" w:eastAsia="宋体"/>
          <w:color w:val="auto"/>
          <w:kern w:val="0"/>
          <w:sz w:val="21"/>
          <w:szCs w:val="24"/>
        </w:rPr>
        <w:t>室外步行组（</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00</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046）</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偏瘫侧骨盆最大旋内</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306</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046）</w:t>
      </w:r>
      <w:r>
        <w:rPr>
          <w:rFonts w:hint="eastAsia" w:ascii="Times New Roman" w:hAnsi="Times New Roman" w:eastAsia="宋体"/>
          <w:color w:val="auto"/>
          <w:kern w:val="0"/>
          <w:sz w:val="21"/>
          <w:szCs w:val="24"/>
        </w:rPr>
        <w:t>及</w:t>
      </w:r>
      <w:r>
        <w:rPr>
          <w:rFonts w:ascii="Times New Roman" w:hAnsi="Times New Roman" w:eastAsia="宋体"/>
          <w:color w:val="auto"/>
          <w:kern w:val="0"/>
          <w:sz w:val="21"/>
          <w:szCs w:val="24"/>
        </w:rPr>
        <w:t>旋转</w:t>
      </w:r>
      <w:r>
        <w:rPr>
          <w:rFonts w:hint="eastAsia" w:ascii="Times New Roman" w:hAnsi="Times New Roman" w:eastAsia="宋体"/>
          <w:color w:val="auto"/>
          <w:kern w:val="0"/>
          <w:sz w:val="21"/>
          <w:szCs w:val="24"/>
        </w:rPr>
        <w:t>范围（</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ROM</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4.</w:t>
      </w:r>
      <w:r>
        <w:rPr>
          <w:rFonts w:ascii="Times New Roman" w:hAnsi="Times New Roman" w:eastAsia="宋体"/>
          <w:color w:val="auto"/>
          <w:kern w:val="0"/>
          <w:sz w:val="21"/>
          <w:szCs w:val="24"/>
        </w:rPr>
        <w:t>896，</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012）、非偏瘫侧PRA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4.</w:t>
      </w:r>
      <w:r>
        <w:rPr>
          <w:rFonts w:ascii="Times New Roman" w:hAnsi="Times New Roman" w:eastAsia="宋体"/>
          <w:color w:val="auto"/>
          <w:kern w:val="0"/>
          <w:sz w:val="21"/>
          <w:szCs w:val="24"/>
        </w:rPr>
        <w:t>454，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017）均渐进减小，差异</w:t>
      </w:r>
      <w:r>
        <w:rPr>
          <w:rFonts w:hint="eastAsia" w:ascii="Times New Roman" w:hAnsi="Times New Roman" w:eastAsia="宋体"/>
          <w:color w:val="auto"/>
          <w:kern w:val="0"/>
          <w:sz w:val="21"/>
          <w:szCs w:val="24"/>
          <w:lang w:eastAsia="zh-CN"/>
        </w:rPr>
        <w:t>均</w:t>
      </w:r>
      <w:r>
        <w:rPr>
          <w:rFonts w:ascii="Times New Roman" w:hAnsi="Times New Roman" w:eastAsia="宋体"/>
          <w:color w:val="auto"/>
          <w:kern w:val="0"/>
          <w:sz w:val="21"/>
          <w:szCs w:val="24"/>
        </w:rPr>
        <w:t>有统计学意义</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进一步分析发现</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有统计学意义的渐进减少见于偏瘫侧PRA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484，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048）室内步行组。</w:t>
      </w:r>
      <w:r>
        <w:rPr>
          <w:rFonts w:ascii="Times New Roman" w:hAnsi="Times New Roman" w:eastAsia="宋体"/>
          <w:b/>
          <w:bCs/>
          <w:color w:val="auto"/>
          <w:kern w:val="0"/>
          <w:sz w:val="21"/>
          <w:szCs w:val="24"/>
        </w:rPr>
        <w:t>结论</w:t>
      </w:r>
      <w:r>
        <w:rPr>
          <w:rFonts w:hint="eastAsia" w:ascii="Times New Roman" w:hAnsi="Times New Roman" w:eastAsia="宋体"/>
          <w:b/>
          <w:bCs/>
          <w:color w:val="auto"/>
          <w:kern w:val="0"/>
          <w:sz w:val="21"/>
          <w:szCs w:val="24"/>
        </w:rPr>
        <w:t xml:space="preserve"> </w:t>
      </w:r>
      <w:r>
        <w:rPr>
          <w:rFonts w:ascii="Times New Roman" w:hAnsi="Times New Roman" w:eastAsia="宋体"/>
          <w:color w:val="auto"/>
          <w:kern w:val="0"/>
          <w:sz w:val="21"/>
          <w:szCs w:val="24"/>
        </w:rPr>
        <w:t>脑卒中患者步行周期中骨盆偏瘫侧和非偏瘫侧前倾和侧倾存在不对称改变。</w:t>
      </w:r>
      <w:r>
        <w:rPr>
          <w:rFonts w:hint="eastAsia" w:ascii="Times New Roman" w:hAnsi="Times New Roman" w:eastAsia="宋体"/>
          <w:color w:val="auto"/>
          <w:kern w:val="0"/>
          <w:sz w:val="21"/>
          <w:szCs w:val="24"/>
          <w:lang w:eastAsia="zh-CN"/>
        </w:rPr>
        <w:t>在</w:t>
      </w:r>
      <w:r>
        <w:rPr>
          <w:rFonts w:ascii="Times New Roman" w:hAnsi="Times New Roman" w:eastAsia="宋体"/>
          <w:color w:val="auto"/>
          <w:kern w:val="0"/>
          <w:sz w:val="21"/>
          <w:szCs w:val="24"/>
          <w:highlight w:val="none"/>
        </w:rPr>
        <w:t>连续步行中，骨盆偏瘫侧前倾、</w:t>
      </w:r>
      <w:r>
        <w:rPr>
          <w:rFonts w:hint="eastAsia" w:ascii="Times New Roman" w:hAnsi="Times New Roman" w:eastAsia="宋体"/>
          <w:color w:val="auto"/>
          <w:kern w:val="0"/>
          <w:sz w:val="21"/>
          <w:szCs w:val="24"/>
          <w:highlight w:val="none"/>
          <w:lang w:val="en-US" w:eastAsia="zh-CN"/>
        </w:rPr>
        <w:t>前后倾斜ROM、</w:t>
      </w:r>
      <w:r>
        <w:rPr>
          <w:rFonts w:ascii="Times New Roman" w:hAnsi="Times New Roman" w:eastAsia="宋体"/>
          <w:color w:val="auto"/>
          <w:kern w:val="0"/>
          <w:sz w:val="21"/>
          <w:szCs w:val="24"/>
          <w:highlight w:val="none"/>
        </w:rPr>
        <w:t>旋</w:t>
      </w:r>
      <w:r>
        <w:rPr>
          <w:rFonts w:hint="eastAsia" w:ascii="Times New Roman" w:hAnsi="Times New Roman" w:eastAsia="宋体"/>
          <w:color w:val="auto"/>
          <w:kern w:val="0"/>
          <w:sz w:val="21"/>
          <w:szCs w:val="24"/>
          <w:highlight w:val="none"/>
          <w:lang w:val="en-US" w:eastAsia="zh-CN"/>
        </w:rPr>
        <w:t>内</w:t>
      </w:r>
      <w:r>
        <w:rPr>
          <w:rFonts w:ascii="Times New Roman" w:hAnsi="Times New Roman" w:eastAsia="宋体"/>
          <w:color w:val="auto"/>
          <w:kern w:val="0"/>
          <w:sz w:val="21"/>
          <w:szCs w:val="24"/>
          <w:highlight w:val="none"/>
        </w:rPr>
        <w:t>均呈渐进变化，而非偏瘫侧骨盆未见对称性改变</w:t>
      </w:r>
      <w:r>
        <w:rPr>
          <w:rFonts w:hint="eastAsia" w:ascii="Times New Roman" w:hAnsi="Times New Roman" w:eastAsia="宋体"/>
          <w:color w:val="auto"/>
          <w:kern w:val="0"/>
          <w:sz w:val="21"/>
          <w:szCs w:val="24"/>
          <w:lang w:eastAsia="zh-CN"/>
        </w:rPr>
        <w:t>，且</w:t>
      </w:r>
      <w:r>
        <w:rPr>
          <w:rFonts w:ascii="Times New Roman" w:hAnsi="Times New Roman" w:eastAsia="宋体"/>
          <w:color w:val="auto"/>
          <w:kern w:val="0"/>
          <w:sz w:val="21"/>
          <w:szCs w:val="24"/>
        </w:rPr>
        <w:t>步行能力差的患者骨盆不对称改变更显著。</w:t>
      </w:r>
    </w:p>
    <w:p w14:paraId="64E77336">
      <w:pPr>
        <w:keepNext w:val="0"/>
        <w:keepLines w:val="0"/>
        <w:pageBreakBefore w:val="0"/>
        <w:kinsoku/>
        <w:wordWrap/>
        <w:overflowPunct/>
        <w:topLinePunct w:val="0"/>
        <w:autoSpaceDE/>
        <w:autoSpaceDN/>
        <w:bidi w:val="0"/>
        <w:adjustRightInd/>
        <w:snapToGrid/>
        <w:spacing w:beforeAutospacing="0" w:afterAutospacing="0" w:line="360" w:lineRule="auto"/>
        <w:ind w:firstLine="422" w:firstLineChars="200"/>
        <w:rPr>
          <w:rFonts w:ascii="Times New Roman" w:hAnsi="Times New Roman" w:eastAsia="宋体"/>
          <w:color w:val="auto"/>
          <w:kern w:val="0"/>
          <w:sz w:val="21"/>
          <w:szCs w:val="24"/>
        </w:rPr>
      </w:pPr>
      <w:r>
        <w:rPr>
          <w:rFonts w:hint="eastAsia" w:ascii="Times New Roman" w:hAnsi="Times New Roman" w:eastAsia="宋体"/>
          <w:b/>
          <w:bCs/>
          <w:color w:val="auto"/>
          <w:kern w:val="0"/>
          <w:sz w:val="21"/>
          <w:szCs w:val="24"/>
        </w:rPr>
        <w:t>【</w:t>
      </w:r>
      <w:r>
        <w:rPr>
          <w:rFonts w:ascii="Times New Roman" w:hAnsi="Times New Roman" w:eastAsia="宋体"/>
          <w:b/>
          <w:bCs/>
          <w:color w:val="auto"/>
          <w:kern w:val="0"/>
          <w:sz w:val="21"/>
          <w:szCs w:val="24"/>
        </w:rPr>
        <w:t>关键词</w:t>
      </w:r>
      <w:r>
        <w:rPr>
          <w:rFonts w:hint="eastAsia" w:ascii="Times New Roman" w:hAnsi="Times New Roman" w:eastAsia="宋体"/>
          <w:b/>
          <w:bCs/>
          <w:color w:val="auto"/>
          <w:kern w:val="0"/>
          <w:sz w:val="21"/>
          <w:szCs w:val="24"/>
        </w:rPr>
        <w:t>】</w:t>
      </w:r>
      <w:r>
        <w:rPr>
          <w:rFonts w:ascii="Times New Roman" w:hAnsi="Times New Roman" w:eastAsia="宋体"/>
          <w:color w:val="auto"/>
          <w:kern w:val="0"/>
          <w:sz w:val="21"/>
          <w:szCs w:val="24"/>
        </w:rPr>
        <w:t>脑卒中；步态分析；骨盆不对称；康复</w:t>
      </w:r>
    </w:p>
    <w:p w14:paraId="1E3BBB02">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p>
    <w:p w14:paraId="0A04E4D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i/>
          <w:iCs/>
          <w:color w:val="auto"/>
          <w:sz w:val="21"/>
          <w:szCs w:val="24"/>
        </w:rPr>
      </w:pPr>
      <w:r>
        <w:rPr>
          <w:rFonts w:ascii="Times New Roman" w:hAnsi="Times New Roman" w:eastAsia="宋体"/>
          <w:b/>
          <w:bCs/>
          <w:i w:val="0"/>
          <w:iCs w:val="0"/>
          <w:color w:val="auto"/>
          <w:kern w:val="0"/>
          <w:sz w:val="21"/>
          <w:szCs w:val="24"/>
        </w:rPr>
        <w:t>Dynamic analysis of pelvic asymmetric activity during continuous walking in stroke patients with hemiplegia</w:t>
      </w:r>
      <w:r>
        <w:rPr>
          <w:rFonts w:hint="eastAsia" w:ascii="Times New Roman" w:hAnsi="Times New Roman" w:eastAsia="宋体"/>
          <w:b/>
          <w:bCs/>
          <w:i w:val="0"/>
          <w:iCs w:val="0"/>
          <w:color w:val="auto"/>
          <w:kern w:val="0"/>
          <w:sz w:val="21"/>
          <w:szCs w:val="24"/>
          <w:lang w:val="en-US" w:eastAsia="zh-CN"/>
        </w:rPr>
        <w:t xml:space="preserve">  </w:t>
      </w:r>
      <w:r>
        <w:rPr>
          <w:rFonts w:ascii="Times New Roman" w:hAnsi="Times New Roman" w:eastAsia="宋体"/>
          <w:i/>
          <w:iCs/>
          <w:color w:val="auto"/>
          <w:sz w:val="21"/>
          <w:szCs w:val="24"/>
        </w:rPr>
        <w:t>Wu Zhangwei</w:t>
      </w:r>
      <w:r>
        <w:rPr>
          <w:rFonts w:ascii="Times New Roman" w:hAnsi="Times New Roman" w:eastAsia="宋体"/>
          <w:i/>
          <w:iCs/>
          <w:color w:val="auto"/>
          <w:sz w:val="21"/>
          <w:szCs w:val="24"/>
          <w:vertAlign w:val="superscript"/>
        </w:rPr>
        <w:t>1</w:t>
      </w:r>
      <w:r>
        <w:rPr>
          <w:rFonts w:hint="eastAsia" w:ascii="Times New Roman" w:hAnsi="Times New Roman" w:eastAsia="宋体"/>
          <w:i/>
          <w:iCs/>
          <w:color w:val="auto"/>
          <w:sz w:val="21"/>
          <w:szCs w:val="24"/>
          <w:vertAlign w:val="superscript"/>
          <w:lang w:val="en-US" w:eastAsia="zh-CN"/>
        </w:rPr>
        <w:t>,</w:t>
      </w:r>
      <w:r>
        <w:rPr>
          <w:rFonts w:ascii="Times New Roman" w:hAnsi="Times New Roman" w:eastAsia="宋体"/>
          <w:i/>
          <w:iCs/>
          <w:color w:val="auto"/>
          <w:sz w:val="21"/>
          <w:szCs w:val="24"/>
          <w:vertAlign w:val="superscript"/>
        </w:rPr>
        <w:t>2</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Zhang Tong</w:t>
      </w:r>
      <w:r>
        <w:rPr>
          <w:rFonts w:hint="eastAsia" w:ascii="Times New Roman" w:hAnsi="Times New Roman" w:eastAsia="宋体"/>
          <w:i/>
          <w:iCs/>
          <w:color w:val="auto"/>
          <w:sz w:val="21"/>
          <w:szCs w:val="24"/>
          <w:vertAlign w:val="superscript"/>
          <w:lang w:eastAsia="zh-CN"/>
        </w:rPr>
        <w:t>1,2</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Zhao Jun</w:t>
      </w:r>
      <w:r>
        <w:rPr>
          <w:rFonts w:hint="eastAsia" w:ascii="Times New Roman" w:hAnsi="Times New Roman" w:eastAsia="宋体"/>
          <w:i/>
          <w:iCs/>
          <w:color w:val="auto"/>
          <w:sz w:val="21"/>
          <w:szCs w:val="24"/>
          <w:vertAlign w:val="superscript"/>
          <w:lang w:eastAsia="zh-CN"/>
        </w:rPr>
        <w:t>1,2</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Zhou Hao</w:t>
      </w:r>
      <w:r>
        <w:rPr>
          <w:rFonts w:ascii="Times New Roman" w:hAnsi="Times New Roman" w:eastAsia="宋体"/>
          <w:i/>
          <w:iCs/>
          <w:color w:val="auto"/>
          <w:sz w:val="21"/>
          <w:szCs w:val="24"/>
          <w:vertAlign w:val="superscript"/>
        </w:rPr>
        <w:t>2</w:t>
      </w:r>
      <w:r>
        <w:rPr>
          <w:rFonts w:hint="eastAsia" w:ascii="Times New Roman" w:hAnsi="Times New Roman" w:eastAsia="宋体"/>
          <w:i/>
          <w:iCs/>
          <w:color w:val="auto"/>
          <w:sz w:val="21"/>
          <w:szCs w:val="24"/>
          <w:lang w:val="en-US" w:eastAsia="zh-CN"/>
        </w:rPr>
        <w:t xml:space="preserve">, </w:t>
      </w:r>
      <w:r>
        <w:rPr>
          <w:rFonts w:ascii="Times New Roman" w:hAnsi="Times New Roman" w:eastAsia="宋体"/>
          <w:i/>
          <w:iCs/>
          <w:color w:val="auto"/>
          <w:sz w:val="21"/>
          <w:szCs w:val="24"/>
        </w:rPr>
        <w:t>Li Bingjie</w:t>
      </w:r>
      <w:r>
        <w:rPr>
          <w:rFonts w:hint="eastAsia" w:ascii="Times New Roman" w:hAnsi="Times New Roman" w:eastAsia="宋体"/>
          <w:i/>
          <w:iCs/>
          <w:color w:val="auto"/>
          <w:sz w:val="21"/>
          <w:szCs w:val="24"/>
          <w:vertAlign w:val="superscript"/>
          <w:lang w:eastAsia="zh-CN"/>
        </w:rPr>
        <w:t>2</w:t>
      </w:r>
      <w:r>
        <w:rPr>
          <w:rFonts w:hint="eastAsia" w:ascii="Times New Roman" w:hAnsi="Times New Roman" w:eastAsia="宋体"/>
          <w:i/>
          <w:iCs/>
          <w:color w:val="auto"/>
          <w:sz w:val="21"/>
          <w:szCs w:val="24"/>
          <w:vertAlign w:val="baseline"/>
          <w:lang w:eastAsia="zh-CN"/>
        </w:rPr>
        <w:t>.</w:t>
      </w:r>
      <w:r>
        <w:rPr>
          <w:rFonts w:hint="eastAsia" w:ascii="Times New Roman" w:hAnsi="Times New Roman" w:eastAsia="宋体"/>
          <w:i/>
          <w:iCs/>
          <w:color w:val="auto"/>
          <w:sz w:val="21"/>
          <w:szCs w:val="24"/>
          <w:vertAlign w:val="superscript"/>
          <w:lang w:val="en-US" w:eastAsia="zh-CN"/>
        </w:rPr>
        <w:t xml:space="preserve"> </w:t>
      </w:r>
      <w:r>
        <w:rPr>
          <w:rFonts w:ascii="Times New Roman" w:hAnsi="Times New Roman" w:eastAsia="宋体"/>
          <w:i/>
          <w:iCs/>
          <w:color w:val="auto"/>
          <w:sz w:val="21"/>
          <w:szCs w:val="24"/>
          <w:vertAlign w:val="superscript"/>
        </w:rPr>
        <w:t>1</w:t>
      </w:r>
      <w:r>
        <w:rPr>
          <w:rFonts w:ascii="Times New Roman" w:hAnsi="Times New Roman" w:eastAsia="宋体"/>
          <w:i/>
          <w:iCs/>
          <w:color w:val="auto"/>
          <w:sz w:val="21"/>
          <w:szCs w:val="24"/>
        </w:rPr>
        <w:t>School of Rehabilitation Medicine</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Capital Medical University</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Beijing 100068</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 xml:space="preserve">China; </w:t>
      </w:r>
      <w:r>
        <w:rPr>
          <w:rFonts w:hint="eastAsia" w:ascii="Times New Roman" w:hAnsi="Times New Roman" w:eastAsia="宋体"/>
          <w:i/>
          <w:iCs/>
          <w:color w:val="auto"/>
          <w:sz w:val="21"/>
          <w:szCs w:val="24"/>
          <w:vertAlign w:val="superscript"/>
          <w:lang w:val="en-US" w:eastAsia="zh-CN"/>
        </w:rPr>
        <w:t>2</w:t>
      </w:r>
      <w:r>
        <w:rPr>
          <w:rFonts w:ascii="Times New Roman" w:hAnsi="Times New Roman" w:eastAsia="宋体"/>
          <w:i/>
          <w:iCs/>
          <w:color w:val="auto"/>
          <w:sz w:val="21"/>
          <w:szCs w:val="24"/>
        </w:rPr>
        <w:t>Department of Neurology</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Beijing Bo</w:t>
      </w:r>
      <w:r>
        <w:rPr>
          <w:rFonts w:hint="eastAsia" w:ascii="Times New Roman" w:hAnsi="Times New Roman" w:eastAsia="宋体"/>
          <w:color w:val="auto"/>
          <w:sz w:val="21"/>
          <w:szCs w:val="24"/>
          <w:lang w:eastAsia="zh-CN"/>
        </w:rPr>
        <w:t>'</w:t>
      </w:r>
      <w:r>
        <w:rPr>
          <w:rFonts w:ascii="Times New Roman" w:hAnsi="Times New Roman" w:eastAsia="宋体"/>
          <w:i/>
          <w:iCs/>
          <w:color w:val="auto"/>
          <w:sz w:val="21"/>
          <w:szCs w:val="24"/>
        </w:rPr>
        <w:t>ai Hospital</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China Rehabilitation Research Center</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Beijing</w:t>
      </w:r>
      <w:r>
        <w:rPr>
          <w:rFonts w:hint="eastAsia" w:ascii="Times New Roman" w:hAnsi="Times New Roman" w:eastAsia="宋体"/>
          <w:i/>
          <w:iCs/>
          <w:color w:val="auto"/>
          <w:sz w:val="21"/>
          <w:szCs w:val="24"/>
          <w:lang w:val="en-US" w:eastAsia="zh-CN"/>
        </w:rPr>
        <w:t xml:space="preserve"> </w:t>
      </w:r>
      <w:r>
        <w:rPr>
          <w:rFonts w:ascii="Times New Roman" w:hAnsi="Times New Roman" w:eastAsia="宋体"/>
          <w:i/>
          <w:iCs/>
          <w:color w:val="auto"/>
          <w:sz w:val="21"/>
          <w:szCs w:val="24"/>
        </w:rPr>
        <w:t>100068</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China</w:t>
      </w:r>
    </w:p>
    <w:p w14:paraId="78CC73A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i/>
          <w:iCs/>
          <w:color w:val="auto"/>
          <w:kern w:val="0"/>
          <w:sz w:val="21"/>
          <w:szCs w:val="24"/>
        </w:rPr>
      </w:pPr>
      <w:r>
        <w:rPr>
          <w:rFonts w:ascii="Times New Roman" w:hAnsi="Times New Roman" w:eastAsia="宋体"/>
          <w:i/>
          <w:iCs/>
          <w:color w:val="auto"/>
          <w:sz w:val="21"/>
          <w:szCs w:val="24"/>
        </w:rPr>
        <w:t xml:space="preserve">Corresponding </w:t>
      </w:r>
      <w:r>
        <w:rPr>
          <w:rFonts w:hint="eastAsia" w:ascii="Times New Roman" w:hAnsi="Times New Roman" w:eastAsia="宋体"/>
          <w:i/>
          <w:iCs/>
          <w:color w:val="auto"/>
          <w:sz w:val="21"/>
          <w:szCs w:val="24"/>
          <w:lang w:val="en-US" w:eastAsia="zh-CN"/>
        </w:rPr>
        <w:t>a</w:t>
      </w:r>
      <w:r>
        <w:rPr>
          <w:rFonts w:ascii="Times New Roman" w:hAnsi="Times New Roman" w:eastAsia="宋体"/>
          <w:i/>
          <w:iCs/>
          <w:color w:val="auto"/>
          <w:sz w:val="21"/>
          <w:szCs w:val="24"/>
        </w:rPr>
        <w:t>uthor</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Z</w:t>
      </w:r>
      <w:r>
        <w:rPr>
          <w:rFonts w:hint="eastAsia" w:ascii="Times New Roman" w:hAnsi="Times New Roman" w:eastAsia="宋体"/>
          <w:i/>
          <w:iCs/>
          <w:color w:val="auto"/>
          <w:sz w:val="21"/>
          <w:szCs w:val="24"/>
          <w:lang w:val="en-US" w:eastAsia="zh-CN"/>
        </w:rPr>
        <w:t>hang</w:t>
      </w:r>
      <w:r>
        <w:rPr>
          <w:rFonts w:ascii="Times New Roman" w:hAnsi="Times New Roman" w:eastAsia="宋体"/>
          <w:i/>
          <w:iCs/>
          <w:color w:val="auto"/>
          <w:sz w:val="21"/>
          <w:szCs w:val="24"/>
        </w:rPr>
        <w:t xml:space="preserve"> Tong</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sz w:val="21"/>
          <w:szCs w:val="24"/>
        </w:rPr>
        <w:t>Email</w:t>
      </w:r>
      <w:r>
        <w:rPr>
          <w:rFonts w:hint="eastAsia" w:ascii="Times New Roman" w:hAnsi="Times New Roman" w:eastAsia="宋体"/>
          <w:i/>
          <w:iCs/>
          <w:color w:val="auto"/>
          <w:sz w:val="21"/>
          <w:szCs w:val="24"/>
          <w:lang w:eastAsia="zh-CN"/>
        </w:rPr>
        <w:t xml:space="preserve">: </w:t>
      </w:r>
      <w:r>
        <w:rPr>
          <w:rFonts w:ascii="Times New Roman" w:hAnsi="Times New Roman" w:eastAsia="宋体"/>
          <w:i/>
          <w:iCs/>
          <w:color w:val="auto"/>
          <w:kern w:val="0"/>
          <w:sz w:val="21"/>
          <w:szCs w:val="24"/>
        </w:rPr>
        <w:t>tommzhang@16</w:t>
      </w:r>
      <w:r>
        <w:rPr>
          <w:rFonts w:hint="eastAsia" w:ascii="Times New Roman" w:hAnsi="Times New Roman" w:eastAsia="宋体"/>
          <w:i/>
          <w:iCs/>
          <w:color w:val="auto"/>
          <w:kern w:val="0"/>
          <w:sz w:val="21"/>
          <w:szCs w:val="24"/>
          <w:lang w:eastAsia="zh-CN"/>
        </w:rPr>
        <w:t>3.</w:t>
      </w:r>
      <w:r>
        <w:rPr>
          <w:rFonts w:ascii="Times New Roman" w:hAnsi="Times New Roman" w:eastAsia="宋体"/>
          <w:i/>
          <w:iCs/>
          <w:color w:val="auto"/>
          <w:kern w:val="0"/>
          <w:sz w:val="21"/>
          <w:szCs w:val="24"/>
        </w:rPr>
        <w:t>com</w:t>
      </w:r>
      <w:bookmarkStart w:id="75" w:name="_GoBack"/>
      <w:bookmarkEnd w:id="75"/>
    </w:p>
    <w:p w14:paraId="7B919CE9">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2" w:firstLineChars="200"/>
        <w:rPr>
          <w:rFonts w:hint="eastAsia" w:ascii="Times New Roman" w:hAnsi="Times New Roman" w:eastAsia="宋体"/>
          <w:color w:val="auto"/>
          <w:sz w:val="21"/>
          <w:szCs w:val="24"/>
          <w:lang w:val="en-US" w:eastAsia="zh-CN"/>
        </w:rPr>
      </w:pPr>
      <w:r>
        <w:rPr>
          <w:rFonts w:hint="eastAsia" w:ascii="Times New Roman" w:hAnsi="Times New Roman" w:eastAsia="宋体"/>
          <w:b/>
          <w:bCs/>
          <w:color w:val="auto"/>
          <w:sz w:val="21"/>
          <w:szCs w:val="24"/>
        </w:rPr>
        <w:t>【</w:t>
      </w:r>
      <w:r>
        <w:rPr>
          <w:rFonts w:ascii="Times New Roman" w:hAnsi="Times New Roman" w:eastAsia="宋体"/>
          <w:b/>
          <w:bCs/>
          <w:color w:val="auto"/>
          <w:sz w:val="21"/>
          <w:szCs w:val="24"/>
        </w:rPr>
        <w:t>Abstract</w:t>
      </w:r>
      <w:r>
        <w:rPr>
          <w:rFonts w:hint="eastAsia" w:ascii="Times New Roman" w:hAnsi="Times New Roman" w:eastAsia="宋体"/>
          <w:b/>
          <w:bCs/>
          <w:color w:val="auto"/>
          <w:sz w:val="21"/>
          <w:szCs w:val="24"/>
        </w:rPr>
        <w:t>】</w:t>
      </w:r>
      <w:r>
        <w:rPr>
          <w:rFonts w:hint="eastAsia" w:ascii="Times New Roman" w:hAnsi="Times New Roman" w:eastAsia="宋体"/>
          <w:b/>
          <w:bCs/>
          <w:color w:val="auto"/>
          <w:sz w:val="21"/>
          <w:szCs w:val="24"/>
          <w:lang w:val="en-US" w:eastAsia="zh-CN"/>
        </w:rPr>
        <w:t xml:space="preserve"> </w:t>
      </w:r>
      <w:r>
        <w:rPr>
          <w:rFonts w:ascii="Times New Roman" w:hAnsi="Times New Roman" w:eastAsia="宋体"/>
          <w:b/>
          <w:bCs/>
          <w:color w:val="auto"/>
          <w:sz w:val="21"/>
          <w:szCs w:val="24"/>
        </w:rPr>
        <w:t>Objective</w:t>
      </w:r>
      <w:r>
        <w:rPr>
          <w:rFonts w:hint="eastAsia" w:ascii="Times New Roman" w:hAnsi="Times New Roman" w:eastAsia="宋体"/>
          <w:b/>
          <w:bCs/>
          <w:color w:val="auto"/>
          <w:sz w:val="21"/>
          <w:szCs w:val="24"/>
          <w:lang w:val="en-US" w:eastAsia="zh-CN"/>
        </w:rPr>
        <w:t xml:space="preserve"> </w:t>
      </w:r>
      <w:r>
        <w:rPr>
          <w:rFonts w:ascii="Times New Roman" w:hAnsi="Times New Roman" w:eastAsia="宋体"/>
          <w:color w:val="auto"/>
          <w:sz w:val="21"/>
          <w:szCs w:val="24"/>
        </w:rPr>
        <w:t>To analyze the asymmetry between the hemiplegic and non-hemiplegic sides of the pelvis in stroke patients and analyze the progressive changes in pelvic asymmetry during continuous walking</w:t>
      </w:r>
      <w:r>
        <w:rPr>
          <w:rFonts w:hint="eastAsia" w:ascii="Times New Roman" w:hAnsi="Times New Roman" w:eastAsia="宋体"/>
          <w:color w:val="auto"/>
          <w:sz w:val="21"/>
          <w:szCs w:val="24"/>
          <w:lang w:val="en-US" w:eastAsia="zh-CN"/>
        </w:rPr>
        <w:t xml:space="preserve">. </w:t>
      </w:r>
      <w:r>
        <w:rPr>
          <w:rFonts w:ascii="Times New Roman" w:hAnsi="Times New Roman" w:eastAsia="宋体"/>
          <w:b/>
          <w:bCs/>
          <w:color w:val="auto"/>
          <w:sz w:val="21"/>
          <w:szCs w:val="24"/>
        </w:rPr>
        <w:t>Method</w:t>
      </w:r>
      <w:r>
        <w:rPr>
          <w:rFonts w:hint="eastAsia" w:ascii="Times New Roman" w:hAnsi="Times New Roman" w:eastAsia="宋体"/>
          <w:b/>
          <w:bCs/>
          <w:color w:val="auto"/>
          <w:sz w:val="21"/>
          <w:szCs w:val="24"/>
          <w:lang w:val="en-US" w:eastAsia="zh-CN"/>
        </w:rPr>
        <w:t xml:space="preserve">s </w:t>
      </w:r>
      <w:r>
        <w:rPr>
          <w:rFonts w:ascii="Times New Roman" w:hAnsi="Times New Roman" w:eastAsia="宋体"/>
          <w:color w:val="auto"/>
          <w:sz w:val="21"/>
          <w:szCs w:val="24"/>
        </w:rPr>
        <w:t>A total of 25 stroke patients admitted to the Neurology Department of Beijing Bo</w:t>
      </w: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ai Hospital</w:t>
      </w:r>
      <w:r>
        <w:rPr>
          <w:rFonts w:hint="eastAsia" w:ascii="Times New Roman" w:hAnsi="Times New Roman" w:eastAsia="宋体"/>
          <w:color w:val="auto"/>
          <w:sz w:val="21"/>
          <w:szCs w:val="24"/>
          <w:lang w:val="en-US" w:eastAsia="zh-CN"/>
        </w:rPr>
        <w:t xml:space="preserve"> of</w:t>
      </w:r>
      <w:r>
        <w:rPr>
          <w:rFonts w:hint="eastAsia" w:ascii="Times New Roman" w:hAnsi="Times New Roman" w:eastAsia="宋体"/>
          <w:i w:val="0"/>
          <w:iCs w:val="0"/>
          <w:color w:val="auto"/>
          <w:sz w:val="21"/>
          <w:szCs w:val="24"/>
          <w:lang w:val="en-US" w:eastAsia="zh-CN"/>
        </w:rPr>
        <w:t xml:space="preserve"> </w:t>
      </w:r>
      <w:r>
        <w:rPr>
          <w:rFonts w:ascii="Times New Roman" w:hAnsi="Times New Roman" w:eastAsia="宋体"/>
          <w:i w:val="0"/>
          <w:iCs w:val="0"/>
          <w:color w:val="auto"/>
          <w:sz w:val="21"/>
          <w:szCs w:val="24"/>
        </w:rPr>
        <w:t>China Rehabilitation Research Center</w:t>
      </w:r>
      <w:r>
        <w:rPr>
          <w:rFonts w:hint="eastAsia" w:ascii="Times New Roman" w:hAnsi="Times New Roman" w:eastAsia="宋体"/>
          <w:i w:val="0"/>
          <w:iCs w:val="0"/>
          <w:color w:val="auto"/>
          <w:sz w:val="21"/>
          <w:szCs w:val="24"/>
          <w:lang w:val="en-US" w:eastAsia="zh-CN"/>
        </w:rPr>
        <w:t>,</w:t>
      </w:r>
      <w:r>
        <w:rPr>
          <w:rFonts w:hint="eastAsia" w:ascii="Times New Roman" w:hAnsi="Times New Roman" w:eastAsia="宋体"/>
          <w:i/>
          <w:iCs/>
          <w:color w:val="auto"/>
          <w:sz w:val="21"/>
          <w:szCs w:val="24"/>
          <w:lang w:val="en-US" w:eastAsia="zh-CN"/>
        </w:rPr>
        <w:t xml:space="preserve"> </w:t>
      </w:r>
      <w:r>
        <w:rPr>
          <w:rFonts w:ascii="Times New Roman" w:hAnsi="Times New Roman" w:eastAsia="宋体"/>
          <w:color w:val="auto"/>
          <w:sz w:val="21"/>
          <w:szCs w:val="24"/>
        </w:rPr>
        <w:t>from October 2020 to September 2022 were enrolled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 xml:space="preserve">The enrolled patients underwent </w:t>
      </w:r>
      <w:r>
        <w:rPr>
          <w:rFonts w:hint="eastAsia" w:ascii="Times New Roman" w:hAnsi="Times New Roman" w:eastAsia="宋体"/>
          <w:color w:val="auto"/>
          <w:sz w:val="21"/>
          <w:szCs w:val="24"/>
          <w:lang w:eastAsia="zh-CN"/>
        </w:rPr>
        <w:t>three-dimensional</w:t>
      </w:r>
      <w:r>
        <w:rPr>
          <w:rFonts w:ascii="Times New Roman" w:hAnsi="Times New Roman" w:eastAsia="宋体"/>
          <w:color w:val="auto"/>
          <w:sz w:val="21"/>
          <w:szCs w:val="24"/>
        </w:rPr>
        <w:t xml:space="preserve"> gait analysis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with the gait task being the maximum continuous walking distance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 xml:space="preserve">The entire </w:t>
      </w:r>
      <w:r>
        <w:rPr>
          <w:rFonts w:hint="eastAsia" w:ascii="Times New Roman" w:hAnsi="Times New Roman" w:eastAsia="宋体"/>
          <w:color w:val="auto"/>
          <w:sz w:val="21"/>
          <w:szCs w:val="24"/>
        </w:rPr>
        <w:t>gait</w:t>
      </w:r>
      <w:r>
        <w:rPr>
          <w:rFonts w:ascii="Times New Roman" w:hAnsi="Times New Roman" w:eastAsia="宋体"/>
          <w:color w:val="auto"/>
          <w:sz w:val="21"/>
          <w:szCs w:val="24"/>
        </w:rPr>
        <w:t xml:space="preserve"> cycle </w:t>
      </w:r>
      <w:r>
        <w:rPr>
          <w:rFonts w:hint="eastAsia" w:ascii="Times New Roman" w:hAnsi="Times New Roman" w:eastAsia="宋体"/>
          <w:color w:val="auto"/>
          <w:sz w:val="21"/>
          <w:szCs w:val="24"/>
          <w:lang w:eastAsia="zh-CN"/>
        </w:rPr>
        <w:t>was</w:t>
      </w:r>
      <w:r>
        <w:rPr>
          <w:rFonts w:ascii="Times New Roman" w:hAnsi="Times New Roman" w:eastAsia="宋体"/>
          <w:color w:val="auto"/>
          <w:sz w:val="21"/>
          <w:szCs w:val="24"/>
        </w:rPr>
        <w:t xml:space="preserve"> divided into three phases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initial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middle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and terminal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first three gait cycles were excluded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pelvic angle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angle 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A1)</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in the initial phase was the mean of the 4th to 6th gait cycles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while the terminal phase angle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A3)</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was the mean of the last three gait cycles before stopping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middle phase angle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A2)</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was the mean of three consecutive pelvic angles between A1 and A</w:t>
      </w: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Based on walking distance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patients were divided into an indoor walking group</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50</w:t>
      </w:r>
      <w:r>
        <w:rPr>
          <w:rFonts w:hint="eastAsia" w:ascii="Times New Roman" w:hAnsi="Times New Roman" w:eastAsia="宋体"/>
          <w:color w:val="auto"/>
          <w:sz w:val="21"/>
          <w:szCs w:val="24"/>
          <w:lang w:val="en-US" w:eastAsia="zh-CN"/>
        </w:rPr>
        <w:t>-</w:t>
      </w:r>
      <w:r>
        <w:rPr>
          <w:rFonts w:ascii="Times New Roman" w:hAnsi="Times New Roman" w:eastAsia="宋体"/>
          <w:color w:val="auto"/>
          <w:sz w:val="21"/>
          <w:szCs w:val="24"/>
        </w:rPr>
        <w:t>200</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m)</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and an outdoor walking group</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&gt;200</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m)</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Differences in pelvic joint angles</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X-axis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anterior/posterior tilt;</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Y-axis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up/down obliquity;</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Z-axis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internal/external rotation)</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between the hemiplegic and non-hemiplegic sides were analyzed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progressive trends of pelvic joint angles during continuous walking were assessed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and differences in these trends between patients with varying walking abilities were examined</w:t>
      </w:r>
      <w:r>
        <w:rPr>
          <w:rFonts w:hint="eastAsia" w:ascii="Times New Roman" w:hAnsi="Times New Roman" w:eastAsia="宋体"/>
          <w:color w:val="auto"/>
          <w:sz w:val="21"/>
          <w:szCs w:val="24"/>
          <w:lang w:eastAsia="zh-CN"/>
        </w:rPr>
        <w:t xml:space="preserve">. </w:t>
      </w:r>
      <w:r>
        <w:rPr>
          <w:rFonts w:ascii="Times New Roman" w:hAnsi="Times New Roman" w:eastAsia="宋体"/>
          <w:b/>
          <w:bCs/>
          <w:color w:val="auto"/>
          <w:sz w:val="21"/>
          <w:szCs w:val="24"/>
        </w:rPr>
        <w:t>Result</w:t>
      </w:r>
      <w:r>
        <w:rPr>
          <w:rFonts w:hint="eastAsia" w:ascii="Times New Roman" w:hAnsi="Times New Roman" w:eastAsia="宋体"/>
          <w:b/>
          <w:bCs/>
          <w:color w:val="auto"/>
          <w:sz w:val="21"/>
          <w:szCs w:val="24"/>
          <w:lang w:val="en-US" w:eastAsia="zh-CN"/>
        </w:rPr>
        <w:t>s</w:t>
      </w:r>
      <w:r>
        <w:rPr>
          <w:rFonts w:ascii="Times New Roman" w:hAnsi="Times New Roman" w:eastAsia="宋体"/>
          <w:color w:val="auto"/>
          <w:sz w:val="21"/>
          <w:szCs w:val="24"/>
        </w:rPr>
        <w:t xml:space="preserve"> </w:t>
      </w:r>
      <w:r>
        <w:rPr>
          <w:rFonts w:hint="default" w:ascii="Times New Roman" w:hAnsi="Times New Roman" w:eastAsia="宋体"/>
          <w:color w:val="auto"/>
          <w:sz w:val="21"/>
          <w:szCs w:val="24"/>
        </w:rPr>
        <w:t>Significant differences were observed between the hemiplegic and non-hemiplegic sides in</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maximum pelvis anterior tilt angles</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PTA</w:t>
      </w:r>
      <w:r>
        <w:rPr>
          <w:rFonts w:hint="default" w:ascii="Times New Roman" w:hAnsi="Times New Roman" w:eastAsia="宋体"/>
          <w:color w:val="auto"/>
          <w:sz w:val="21"/>
          <w:szCs w:val="24"/>
          <w:vertAlign w:val="subscript"/>
        </w:rPr>
        <w:t>max</w:t>
      </w:r>
      <w:r>
        <w:rPr>
          <w:rFonts w:hint="eastAsia" w:ascii="Times New Roman" w:hAnsi="Times New Roman" w:eastAsia="宋体"/>
          <w:color w:val="auto"/>
          <w:sz w:val="21"/>
          <w:szCs w:val="24"/>
          <w:lang w:val="en-US" w:eastAsia="zh-CN"/>
        </w:rPr>
        <w:t xml:space="preserve">; </w:t>
      </w:r>
      <w:r>
        <w:rPr>
          <w:rFonts w:hint="eastAsia" w:ascii="Times New Roman" w:hAnsi="Times New Roman" w:eastAsia="宋体"/>
          <w:i/>
          <w:iCs/>
          <w:color w:val="auto"/>
          <w:kern w:val="0"/>
          <w:sz w:val="21"/>
          <w:szCs w:val="24"/>
          <w:lang w:val="en-US" w:eastAsia="zh-CN" w:bidi="ar"/>
        </w:rPr>
        <w:t>t</w:t>
      </w:r>
      <w:r>
        <w:rPr>
          <w:rFonts w:ascii="Times New Roman" w:hAnsi="Times New Roman" w:eastAsia="宋体"/>
          <w:color w:val="auto"/>
          <w:kern w:val="0"/>
          <w:sz w:val="21"/>
          <w:szCs w:val="24"/>
        </w:rPr>
        <w:t>=</w:t>
      </w:r>
      <w:r>
        <w:rPr>
          <w:rFonts w:hint="eastAsia" w:ascii="Times New Roman" w:hAnsi="Times New Roman" w:eastAsia="宋体" w:cs="Times New Roman"/>
          <w:color w:val="auto"/>
          <w:kern w:val="0"/>
          <w:sz w:val="21"/>
          <w:szCs w:val="24"/>
          <w:lang w:val="en-US" w:eastAsia="zh-CN" w:bidi="ar-SA"/>
        </w:rPr>
        <w:t xml:space="preserve">2.614, </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w:t>
      </w:r>
      <w:r>
        <w:rPr>
          <w:rFonts w:hint="eastAsia" w:ascii="Times New Roman" w:hAnsi="Times New Roman" w:eastAsia="宋体"/>
          <w:color w:val="auto"/>
          <w:kern w:val="0"/>
          <w:sz w:val="21"/>
          <w:szCs w:val="24"/>
          <w:lang w:val="en-US" w:eastAsia="zh-CN"/>
        </w:rPr>
        <w:t>1</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val="en-US" w:eastAsia="zh-CN"/>
        </w:rPr>
        <w:t>, m</w:t>
      </w:r>
      <w:r>
        <w:rPr>
          <w:rFonts w:hint="default" w:ascii="Times New Roman" w:hAnsi="Times New Roman" w:eastAsia="宋体"/>
          <w:color w:val="auto"/>
          <w:sz w:val="21"/>
          <w:szCs w:val="24"/>
        </w:rPr>
        <w:t xml:space="preserve">aximum </w:t>
      </w:r>
      <w:r>
        <w:rPr>
          <w:rFonts w:ascii="Times New Roman" w:hAnsi="Times New Roman" w:eastAsia="宋体"/>
          <w:color w:val="auto"/>
          <w:sz w:val="21"/>
          <w:szCs w:val="24"/>
        </w:rPr>
        <w:t>up obliquity angles</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POA</w:t>
      </w:r>
      <w:r>
        <w:rPr>
          <w:rFonts w:hint="default" w:ascii="Times New Roman" w:hAnsi="Times New Roman" w:eastAsia="宋体"/>
          <w:color w:val="auto"/>
          <w:sz w:val="21"/>
          <w:szCs w:val="24"/>
          <w:vertAlign w:val="subscript"/>
        </w:rPr>
        <w:t>max</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Z</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2.</w:t>
      </w:r>
      <w:r>
        <w:rPr>
          <w:rFonts w:hint="default" w:ascii="Times New Roman" w:hAnsi="Times New Roman" w:eastAsia="宋体"/>
          <w:color w:val="auto"/>
          <w:sz w:val="21"/>
          <w:szCs w:val="24"/>
        </w:rPr>
        <w:t>115</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034)</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the range of motion</w:t>
      </w:r>
      <w:r>
        <w:rPr>
          <w:rFonts w:hint="eastAsia" w:ascii="Times New Roman" w:hAnsi="Times New Roman" w:eastAsia="宋体"/>
          <w:color w:val="auto"/>
          <w:sz w:val="21"/>
          <w:szCs w:val="24"/>
          <w:lang w:eastAsia="zh-CN"/>
        </w:rPr>
        <w:t xml:space="preserve"> (</w:t>
      </w:r>
      <w:r>
        <w:rPr>
          <w:rFonts w:hint="eastAsia" w:ascii="Times New Roman" w:hAnsi="Times New Roman" w:eastAsia="宋体"/>
          <w:color w:val="auto"/>
          <w:sz w:val="21"/>
          <w:szCs w:val="24"/>
        </w:rPr>
        <w:t>ROM)</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of pelvic tilt</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PTA</w:t>
      </w:r>
      <w:r>
        <w:rPr>
          <w:rFonts w:hint="default" w:ascii="Times New Roman" w:hAnsi="Times New Roman" w:eastAsia="宋体"/>
          <w:color w:val="auto"/>
          <w:sz w:val="21"/>
          <w:szCs w:val="24"/>
          <w:vertAlign w:val="subscript"/>
        </w:rPr>
        <w:t>ROM1</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in the initial phase</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t</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2.</w:t>
      </w:r>
      <w:r>
        <w:rPr>
          <w:rFonts w:hint="default" w:ascii="Times New Roman" w:hAnsi="Times New Roman" w:eastAsia="宋体"/>
          <w:color w:val="auto"/>
          <w:sz w:val="21"/>
          <w:szCs w:val="24"/>
        </w:rPr>
        <w:t>829</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009)</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 xml:space="preserve">the </w:t>
      </w:r>
      <w:r>
        <w:rPr>
          <w:rFonts w:hint="eastAsia" w:ascii="Times New Roman" w:hAnsi="Times New Roman" w:eastAsia="宋体"/>
          <w:color w:val="auto"/>
          <w:sz w:val="21"/>
          <w:szCs w:val="24"/>
        </w:rPr>
        <w:t>ROM</w:t>
      </w:r>
      <w:r>
        <w:rPr>
          <w:rFonts w:ascii="Times New Roman" w:hAnsi="Times New Roman" w:eastAsia="宋体"/>
          <w:color w:val="auto"/>
          <w:sz w:val="21"/>
          <w:szCs w:val="24"/>
        </w:rPr>
        <w:t xml:space="preserve"> of pelvic tilt </w:t>
      </w:r>
      <w:r>
        <w:rPr>
          <w:rFonts w:hint="default" w:ascii="Times New Roman" w:hAnsi="Times New Roman" w:eastAsia="宋体"/>
          <w:color w:val="auto"/>
          <w:sz w:val="21"/>
          <w:szCs w:val="24"/>
        </w:rPr>
        <w:t>between terminal and initial phases</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PTA</w:t>
      </w:r>
      <w:r>
        <w:rPr>
          <w:rFonts w:hint="default" w:ascii="Times New Roman" w:hAnsi="Times New Roman" w:eastAsia="宋体"/>
          <w:color w:val="auto"/>
          <w:sz w:val="21"/>
          <w:szCs w:val="24"/>
          <w:vertAlign w:val="subscript"/>
        </w:rPr>
        <w:t>ROM3-1</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t</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3.</w:t>
      </w:r>
      <w:r>
        <w:rPr>
          <w:rFonts w:hint="default" w:ascii="Times New Roman" w:hAnsi="Times New Roman" w:eastAsia="宋体"/>
          <w:color w:val="auto"/>
          <w:sz w:val="21"/>
          <w:szCs w:val="24"/>
        </w:rPr>
        <w:t>263</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003)</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During continuous walking</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 xml:space="preserve">the hemiplegic side showed </w:t>
      </w:r>
      <w:r>
        <w:rPr>
          <w:rFonts w:hint="eastAsia" w:ascii="Times New Roman" w:hAnsi="Times New Roman" w:eastAsia="宋体"/>
          <w:color w:val="auto"/>
          <w:sz w:val="21"/>
          <w:szCs w:val="24"/>
          <w:lang w:val="en-US" w:eastAsia="zh-CN"/>
        </w:rPr>
        <w:t>s</w:t>
      </w:r>
      <w:r>
        <w:rPr>
          <w:rFonts w:hint="default" w:ascii="Times New Roman" w:hAnsi="Times New Roman" w:eastAsia="宋体"/>
          <w:color w:val="auto"/>
          <w:sz w:val="21"/>
          <w:szCs w:val="24"/>
        </w:rPr>
        <w:t>tatistically significant progressive increases in both PTA</w:t>
      </w:r>
      <w:r>
        <w:rPr>
          <w:rFonts w:hint="default" w:ascii="Times New Roman" w:hAnsi="Times New Roman" w:eastAsia="宋体"/>
          <w:color w:val="auto"/>
          <w:sz w:val="21"/>
          <w:szCs w:val="24"/>
          <w:vertAlign w:val="subscript"/>
        </w:rPr>
        <w:t>max</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3.</w:t>
      </w:r>
      <w:r>
        <w:rPr>
          <w:rFonts w:hint="default" w:ascii="Times New Roman" w:hAnsi="Times New Roman" w:eastAsia="宋体"/>
          <w:color w:val="auto"/>
          <w:sz w:val="21"/>
          <w:szCs w:val="24"/>
        </w:rPr>
        <w:t>295</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046)</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and</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PTA</w:t>
      </w:r>
      <w:r>
        <w:rPr>
          <w:rFonts w:hint="default" w:ascii="Times New Roman" w:hAnsi="Times New Roman" w:eastAsia="宋体"/>
          <w:color w:val="auto"/>
          <w:sz w:val="21"/>
          <w:szCs w:val="24"/>
          <w:vertAlign w:val="subscript"/>
        </w:rPr>
        <w:t>ROM</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4.</w:t>
      </w:r>
      <w:r>
        <w:rPr>
          <w:rFonts w:hint="default" w:ascii="Times New Roman" w:hAnsi="Times New Roman" w:eastAsia="宋体"/>
          <w:color w:val="auto"/>
          <w:sz w:val="21"/>
          <w:szCs w:val="24"/>
        </w:rPr>
        <w:t>374</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018)</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Further analysis revealed statistically significant progressive increases in PTA</w:t>
      </w:r>
      <w:r>
        <w:rPr>
          <w:rFonts w:hint="default" w:ascii="Times New Roman" w:hAnsi="Times New Roman" w:eastAsia="宋体"/>
          <w:color w:val="auto"/>
          <w:sz w:val="21"/>
          <w:szCs w:val="24"/>
          <w:vertAlign w:val="subscript"/>
        </w:rPr>
        <w:t>max</w:t>
      </w:r>
      <w:r>
        <w:rPr>
          <w:rFonts w:hint="default" w:ascii="Times New Roman" w:hAnsi="Times New Roman" w:eastAsia="宋体"/>
          <w:color w:val="auto"/>
          <w:sz w:val="21"/>
          <w:szCs w:val="24"/>
        </w:rPr>
        <w:t xml:space="preserve"> specifically in the indoor walking group</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5.</w:t>
      </w:r>
      <w:r>
        <w:rPr>
          <w:rFonts w:hint="default" w:ascii="Times New Roman" w:hAnsi="Times New Roman" w:eastAsia="宋体"/>
          <w:color w:val="auto"/>
          <w:sz w:val="21"/>
          <w:szCs w:val="24"/>
        </w:rPr>
        <w:t>83</w:t>
      </w:r>
      <w:r>
        <w:rPr>
          <w:rFonts w:hint="eastAsia"/>
          <w:color w:val="auto"/>
          <w:sz w:val="21"/>
          <w:szCs w:val="24"/>
          <w:lang w:val="en-US" w:eastAsia="zh-CN"/>
        </w:rPr>
        <w:t>0</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009)</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while significant progressive increases in PTA</w:t>
      </w:r>
      <w:r>
        <w:rPr>
          <w:rFonts w:hint="default" w:ascii="Times New Roman" w:hAnsi="Times New Roman" w:eastAsia="宋体"/>
          <w:color w:val="auto"/>
          <w:sz w:val="21"/>
          <w:szCs w:val="24"/>
          <w:vertAlign w:val="subscript"/>
        </w:rPr>
        <w:t>ROM</w:t>
      </w:r>
      <w:r>
        <w:rPr>
          <w:rFonts w:hint="default" w:ascii="Times New Roman" w:hAnsi="Times New Roman" w:eastAsia="宋体"/>
          <w:color w:val="auto"/>
          <w:sz w:val="21"/>
          <w:szCs w:val="24"/>
        </w:rPr>
        <w:t xml:space="preserve"> were observed in the outdoor walking group</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3.</w:t>
      </w:r>
      <w:r>
        <w:rPr>
          <w:rFonts w:hint="default" w:ascii="Times New Roman" w:hAnsi="Times New Roman" w:eastAsia="宋体"/>
          <w:color w:val="auto"/>
          <w:sz w:val="21"/>
          <w:szCs w:val="24"/>
        </w:rPr>
        <w:t>5</w:t>
      </w:r>
      <w:r>
        <w:rPr>
          <w:rFonts w:hint="eastAsia"/>
          <w:color w:val="auto"/>
          <w:sz w:val="21"/>
          <w:szCs w:val="24"/>
          <w:lang w:val="en-US" w:eastAsia="zh-CN"/>
        </w:rPr>
        <w:t>00</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046)</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The hemiplegic side demonstrated statistically significant progressive reductions in both maximum pelvic</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internal rotation</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PRA</w:t>
      </w:r>
      <w:r>
        <w:rPr>
          <w:rFonts w:hint="default" w:ascii="Times New Roman" w:hAnsi="Times New Roman" w:eastAsia="宋体"/>
          <w:color w:val="auto"/>
          <w:sz w:val="21"/>
          <w:szCs w:val="24"/>
          <w:vertAlign w:val="subscript"/>
        </w:rPr>
        <w:t>max</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3.</w:t>
      </w:r>
      <w:r>
        <w:rPr>
          <w:rFonts w:hint="default" w:ascii="Times New Roman" w:hAnsi="Times New Roman" w:eastAsia="宋体"/>
          <w:color w:val="auto"/>
          <w:sz w:val="21"/>
          <w:szCs w:val="24"/>
        </w:rPr>
        <w:t>306</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046)</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and the</w:t>
      </w:r>
      <w:r>
        <w:rPr>
          <w:rFonts w:hint="eastAsia" w:ascii="Times New Roman" w:hAnsi="Times New Roman" w:eastAsia="宋体"/>
          <w:color w:val="auto"/>
          <w:sz w:val="21"/>
          <w:szCs w:val="24"/>
        </w:rPr>
        <w:t xml:space="preserve"> ROM</w:t>
      </w:r>
      <w:r>
        <w:rPr>
          <w:rFonts w:hint="default" w:ascii="Times New Roman" w:hAnsi="Times New Roman" w:eastAsia="宋体"/>
          <w:color w:val="auto"/>
          <w:sz w:val="21"/>
          <w:szCs w:val="24"/>
        </w:rPr>
        <w:t xml:space="preserve"> of pelvic rotation</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PRA</w:t>
      </w:r>
      <w:r>
        <w:rPr>
          <w:rFonts w:hint="default" w:ascii="Times New Roman" w:hAnsi="Times New Roman" w:eastAsia="宋体"/>
          <w:color w:val="auto"/>
          <w:sz w:val="21"/>
          <w:szCs w:val="24"/>
          <w:vertAlign w:val="subscript"/>
        </w:rPr>
        <w:t>ROM</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4.</w:t>
      </w:r>
      <w:r>
        <w:rPr>
          <w:rFonts w:hint="default" w:ascii="Times New Roman" w:hAnsi="Times New Roman" w:eastAsia="宋体"/>
          <w:color w:val="auto"/>
          <w:sz w:val="21"/>
          <w:szCs w:val="24"/>
        </w:rPr>
        <w:t>896</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012)</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with the non-hemiplegic side also showing significant progressive decrease in PRA</w:t>
      </w:r>
      <w:r>
        <w:rPr>
          <w:rFonts w:hint="default" w:ascii="Times New Roman" w:hAnsi="Times New Roman" w:eastAsia="宋体"/>
          <w:color w:val="auto"/>
          <w:sz w:val="21"/>
          <w:szCs w:val="24"/>
          <w:vertAlign w:val="subscript"/>
        </w:rPr>
        <w:t>ROM</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4.</w:t>
      </w:r>
      <w:r>
        <w:rPr>
          <w:rFonts w:hint="default" w:ascii="Times New Roman" w:hAnsi="Times New Roman" w:eastAsia="宋体"/>
          <w:color w:val="auto"/>
          <w:sz w:val="21"/>
          <w:szCs w:val="24"/>
        </w:rPr>
        <w:t>454</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017)</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Further analysis identified that the significant progressive reduction in hemiplegic-side PRA</w:t>
      </w:r>
      <w:r>
        <w:rPr>
          <w:rFonts w:hint="default" w:ascii="Times New Roman" w:hAnsi="Times New Roman" w:eastAsia="宋体"/>
          <w:color w:val="auto"/>
          <w:sz w:val="21"/>
          <w:szCs w:val="24"/>
          <w:vertAlign w:val="subscript"/>
        </w:rPr>
        <w:t>max</w:t>
      </w:r>
      <w:r>
        <w:rPr>
          <w:rFonts w:hint="default" w:ascii="Times New Roman" w:hAnsi="Times New Roman" w:eastAsia="宋体"/>
          <w:color w:val="auto"/>
          <w:sz w:val="21"/>
          <w:szCs w:val="24"/>
        </w:rPr>
        <w:t xml:space="preserve"> was particularly evident in the indoor walking group</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F</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3.</w:t>
      </w:r>
      <w:r>
        <w:rPr>
          <w:rFonts w:hint="default" w:ascii="Times New Roman" w:hAnsi="Times New Roman" w:eastAsia="宋体"/>
          <w:color w:val="auto"/>
          <w:sz w:val="21"/>
          <w:szCs w:val="24"/>
        </w:rPr>
        <w:t>484</w:t>
      </w:r>
      <w:r>
        <w:rPr>
          <w:rFonts w:hint="eastAsia" w:ascii="Times New Roman" w:hAnsi="Times New Roman" w:eastAsia="宋体"/>
          <w:color w:val="auto"/>
          <w:sz w:val="21"/>
          <w:szCs w:val="24"/>
          <w:lang w:eastAsia="zh-CN"/>
        </w:rPr>
        <w:t xml:space="preserve">, </w:t>
      </w:r>
      <w:r>
        <w:rPr>
          <w:rFonts w:hint="default" w:ascii="Times New Roman" w:hAnsi="Times New Roman" w:eastAsia="宋体"/>
          <w:i/>
          <w:iCs/>
          <w:color w:val="auto"/>
          <w:sz w:val="21"/>
          <w:szCs w:val="24"/>
        </w:rPr>
        <w:t>P</w:t>
      </w:r>
      <w:r>
        <w:rPr>
          <w:rFonts w:hint="default"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default" w:ascii="Times New Roman" w:hAnsi="Times New Roman" w:eastAsia="宋体"/>
          <w:color w:val="auto"/>
          <w:sz w:val="21"/>
          <w:szCs w:val="24"/>
        </w:rPr>
        <w:t>048)</w:t>
      </w:r>
      <w:r>
        <w:rPr>
          <w:rFonts w:hint="eastAsia" w:ascii="Times New Roman" w:hAnsi="Times New Roman" w:eastAsia="宋体"/>
          <w:color w:val="auto"/>
          <w:sz w:val="21"/>
          <w:szCs w:val="24"/>
          <w:lang w:val="en-US" w:eastAsia="zh-CN"/>
        </w:rPr>
        <w:t xml:space="preserve">. </w:t>
      </w:r>
      <w:r>
        <w:rPr>
          <w:rFonts w:ascii="Times New Roman" w:hAnsi="Times New Roman" w:eastAsia="宋体"/>
          <w:b/>
          <w:bCs/>
          <w:color w:val="auto"/>
          <w:sz w:val="21"/>
          <w:szCs w:val="24"/>
        </w:rPr>
        <w:t>Conclusion</w:t>
      </w:r>
      <w:r>
        <w:rPr>
          <w:rFonts w:hint="eastAsia" w:ascii="Times New Roman" w:hAnsi="Times New Roman" w:eastAsia="宋体"/>
          <w:b/>
          <w:bCs/>
          <w:color w:val="auto"/>
          <w:sz w:val="21"/>
          <w:szCs w:val="24"/>
        </w:rPr>
        <w:t xml:space="preserve"> </w:t>
      </w:r>
      <w:r>
        <w:rPr>
          <w:rFonts w:hint="default" w:ascii="Times New Roman" w:hAnsi="Times New Roman" w:eastAsia="宋体"/>
          <w:color w:val="auto"/>
          <w:sz w:val="21"/>
          <w:szCs w:val="24"/>
        </w:rPr>
        <w:t>Stroke patients demonstrated asymmetric alterations in pelvic tilt and obliquity</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between the hemiplegic and non-hemiplegic sides during the</w:t>
      </w:r>
      <w:r>
        <w:rPr>
          <w:rFonts w:hint="eastAsia" w:ascii="Times New Roman" w:hAnsi="Times New Roman" w:eastAsia="宋体"/>
          <w:color w:val="auto"/>
          <w:sz w:val="21"/>
          <w:szCs w:val="24"/>
          <w:lang w:val="en-US" w:eastAsia="zh-CN"/>
        </w:rPr>
        <w:t xml:space="preserve"> entire</w:t>
      </w:r>
      <w:r>
        <w:rPr>
          <w:rFonts w:hint="default" w:ascii="Times New Roman" w:hAnsi="Times New Roman" w:eastAsia="宋体"/>
          <w:color w:val="auto"/>
          <w:sz w:val="21"/>
          <w:szCs w:val="24"/>
        </w:rPr>
        <w:t xml:space="preserve"> gait cycle</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During continuous walking</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progressive changes occurred in pelvic anterior tilt</w:t>
      </w:r>
      <w:r>
        <w:rPr>
          <w:rFonts w:hint="eastAsia" w:ascii="Times New Roman" w:hAnsi="Times New Roman" w:eastAsia="宋体"/>
          <w:color w:val="auto"/>
          <w:sz w:val="21"/>
          <w:szCs w:val="24"/>
          <w:lang w:val="en-US" w:eastAsia="zh-CN"/>
        </w:rPr>
        <w:t xml:space="preserve">, </w:t>
      </w:r>
      <w:r>
        <w:rPr>
          <w:rFonts w:hint="eastAsia" w:ascii="Times New Roman" w:hAnsi="Times New Roman" w:eastAsia="宋体"/>
          <w:color w:val="auto"/>
          <w:sz w:val="21"/>
          <w:szCs w:val="24"/>
        </w:rPr>
        <w:t>ROM</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of pelvic tilt</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and internal rotation on the hemiplegic side</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while the non-hemiplegic side showed no symmetrical changes</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Patients with poor walking ability experience</w:t>
      </w:r>
      <w:r>
        <w:rPr>
          <w:rFonts w:hint="eastAsia" w:ascii="Times New Roman" w:hAnsi="Times New Roman" w:eastAsia="宋体"/>
          <w:color w:val="auto"/>
          <w:sz w:val="21"/>
          <w:szCs w:val="24"/>
          <w:lang w:val="en-US" w:eastAsia="zh-CN"/>
        </w:rPr>
        <w:t>d</w:t>
      </w:r>
      <w:r>
        <w:rPr>
          <w:rFonts w:hint="default" w:ascii="Times New Roman" w:hAnsi="Times New Roman" w:eastAsia="宋体"/>
          <w:color w:val="auto"/>
          <w:sz w:val="21"/>
          <w:szCs w:val="24"/>
        </w:rPr>
        <w:t xml:space="preserve"> more significant changes in pelvic asymmetry</w:t>
      </w:r>
      <w:r>
        <w:rPr>
          <w:rFonts w:hint="eastAsia" w:ascii="Times New Roman" w:hAnsi="Times New Roman" w:eastAsia="宋体"/>
          <w:color w:val="auto"/>
          <w:sz w:val="21"/>
          <w:szCs w:val="24"/>
          <w:lang w:val="en-US" w:eastAsia="zh-CN"/>
        </w:rPr>
        <w:t xml:space="preserve"> </w:t>
      </w:r>
      <w:r>
        <w:rPr>
          <w:rFonts w:hint="default" w:ascii="Times New Roman" w:hAnsi="Times New Roman" w:eastAsia="宋体"/>
          <w:color w:val="auto"/>
          <w:sz w:val="21"/>
          <w:szCs w:val="24"/>
        </w:rPr>
        <w:t>during continuous walking</w:t>
      </w:r>
      <w:r>
        <w:rPr>
          <w:rFonts w:hint="eastAsia" w:ascii="Times New Roman" w:hAnsi="Times New Roman" w:eastAsia="宋体"/>
          <w:color w:val="auto"/>
          <w:sz w:val="21"/>
          <w:szCs w:val="24"/>
          <w:lang w:val="en-US" w:eastAsia="zh-CN"/>
        </w:rPr>
        <w:t xml:space="preserve">. </w:t>
      </w:r>
    </w:p>
    <w:p w14:paraId="6CC01312">
      <w:pPr>
        <w:keepNext w:val="0"/>
        <w:keepLines w:val="0"/>
        <w:pageBreakBefore w:val="0"/>
        <w:kinsoku/>
        <w:wordWrap/>
        <w:overflowPunct/>
        <w:topLinePunct w:val="0"/>
        <w:autoSpaceDE/>
        <w:autoSpaceDN/>
        <w:bidi w:val="0"/>
        <w:adjustRightInd/>
        <w:snapToGrid/>
        <w:spacing w:beforeAutospacing="0" w:afterAutospacing="0" w:line="360" w:lineRule="auto"/>
        <w:ind w:left="420" w:leftChars="200" w:firstLine="0" w:firstLineChars="0"/>
        <w:rPr>
          <w:rFonts w:ascii="Times New Roman" w:hAnsi="Times New Roman" w:eastAsia="宋体"/>
          <w:color w:val="auto"/>
          <w:sz w:val="21"/>
          <w:szCs w:val="24"/>
        </w:rPr>
      </w:pPr>
      <w:r>
        <w:rPr>
          <w:rFonts w:hint="eastAsia" w:ascii="Times New Roman" w:hAnsi="Times New Roman" w:eastAsia="宋体"/>
          <w:b/>
          <w:bCs/>
          <w:color w:val="auto"/>
          <w:sz w:val="21"/>
          <w:szCs w:val="24"/>
        </w:rPr>
        <w:t>【</w:t>
      </w:r>
      <w:r>
        <w:rPr>
          <w:rFonts w:ascii="Times New Roman" w:hAnsi="Times New Roman" w:eastAsia="宋体"/>
          <w:b/>
          <w:bCs/>
          <w:color w:val="auto"/>
          <w:sz w:val="21"/>
          <w:szCs w:val="24"/>
        </w:rPr>
        <w:t>Key</w:t>
      </w:r>
      <w:r>
        <w:rPr>
          <w:rFonts w:hint="eastAsia" w:ascii="Times New Roman" w:hAnsi="Times New Roman" w:eastAsia="宋体"/>
          <w:b/>
          <w:bCs/>
          <w:color w:val="auto"/>
          <w:sz w:val="21"/>
          <w:szCs w:val="24"/>
          <w:lang w:val="en-US" w:eastAsia="zh-CN"/>
        </w:rPr>
        <w:t xml:space="preserve"> </w:t>
      </w:r>
      <w:r>
        <w:rPr>
          <w:rFonts w:ascii="Times New Roman" w:hAnsi="Times New Roman" w:eastAsia="宋体"/>
          <w:b/>
          <w:bCs/>
          <w:color w:val="auto"/>
          <w:sz w:val="21"/>
          <w:szCs w:val="24"/>
        </w:rPr>
        <w:t>words</w:t>
      </w:r>
      <w:r>
        <w:rPr>
          <w:rFonts w:hint="eastAsia" w:ascii="Times New Roman" w:hAnsi="Times New Roman" w:eastAsia="宋体"/>
          <w:b/>
          <w:bCs/>
          <w:color w:val="auto"/>
          <w:sz w:val="21"/>
          <w:szCs w:val="24"/>
        </w:rPr>
        <w:t>】</w:t>
      </w:r>
      <w:r>
        <w:rPr>
          <w:rFonts w:hint="eastAsia" w:ascii="Times New Roman" w:hAnsi="Times New Roman" w:eastAsia="宋体"/>
          <w:color w:val="auto"/>
          <w:sz w:val="21"/>
          <w:szCs w:val="24"/>
        </w:rPr>
        <w:t>S</w:t>
      </w:r>
      <w:r>
        <w:rPr>
          <w:rFonts w:ascii="Times New Roman" w:hAnsi="Times New Roman" w:eastAsia="宋体"/>
          <w:color w:val="auto"/>
          <w:sz w:val="21"/>
          <w:szCs w:val="24"/>
        </w:rPr>
        <w:t xml:space="preserve">troke; Gait analysis; Pelvic asymmetry; </w:t>
      </w:r>
      <w:r>
        <w:rPr>
          <w:rFonts w:hint="eastAsia" w:ascii="Times New Roman" w:hAnsi="Times New Roman" w:eastAsia="宋体"/>
          <w:color w:val="auto"/>
          <w:sz w:val="21"/>
          <w:szCs w:val="24"/>
        </w:rPr>
        <w:t>R</w:t>
      </w:r>
      <w:r>
        <w:rPr>
          <w:rFonts w:ascii="Times New Roman" w:hAnsi="Times New Roman" w:eastAsia="宋体"/>
          <w:color w:val="auto"/>
          <w:sz w:val="21"/>
          <w:szCs w:val="24"/>
        </w:rPr>
        <w:t>ehabilitation</w:t>
      </w:r>
    </w:p>
    <w:p w14:paraId="37B2D6FE">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p>
    <w:p w14:paraId="38FB18A1">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偏瘫是脑卒中患者最常见的功能障碍之一，</w:t>
      </w:r>
      <w:r>
        <w:rPr>
          <w:rFonts w:hint="eastAsia" w:ascii="Times New Roman" w:hAnsi="Times New Roman" w:eastAsia="宋体"/>
          <w:color w:val="auto"/>
          <w:kern w:val="0"/>
          <w:sz w:val="21"/>
          <w:szCs w:val="24"/>
          <w:lang w:val="en-US" w:eastAsia="zh-CN"/>
        </w:rPr>
        <w:t>可导致</w:t>
      </w:r>
      <w:r>
        <w:rPr>
          <w:rFonts w:ascii="Times New Roman" w:hAnsi="Times New Roman" w:eastAsia="宋体"/>
          <w:color w:val="auto"/>
          <w:kern w:val="0"/>
          <w:sz w:val="21"/>
          <w:szCs w:val="24"/>
        </w:rPr>
        <w:t>患者的运动能力显著降低</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NE.Ref.{83084525-CC8E-4BBA-910D-CD5A9641A5D7}</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w:t>
      </w:r>
      <w:r>
        <w:rPr>
          <w:rFonts w:hint="eastAsia" w:ascii="Times New Roman" w:hAnsi="Times New Roman" w:eastAsia="宋体"/>
          <w:color w:val="auto"/>
          <w:sz w:val="21"/>
          <w:szCs w:val="24"/>
          <w:vertAlign w:val="superscript"/>
          <w:lang w:val="en-US" w:eastAsia="zh-CN"/>
        </w:rPr>
        <w:t>-</w:t>
      </w:r>
      <w:r>
        <w:rPr>
          <w:rFonts w:hint="eastAsia" w:ascii="Times New Roman" w:hAnsi="Times New Roman" w:eastAsia="宋体"/>
          <w:color w:val="auto"/>
          <w:sz w:val="21"/>
          <w:szCs w:val="24"/>
          <w:vertAlign w:val="superscript"/>
        </w:rPr>
        <w:t>2]</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。尽管大多数脑卒中患者可以实现独立步态，但</w:t>
      </w:r>
      <w:r>
        <w:rPr>
          <w:rFonts w:hint="eastAsia" w:ascii="Times New Roman" w:hAnsi="Times New Roman" w:eastAsia="宋体"/>
          <w:color w:val="auto"/>
          <w:kern w:val="0"/>
          <w:sz w:val="21"/>
          <w:szCs w:val="24"/>
          <w:lang w:val="en-US" w:eastAsia="zh-CN"/>
        </w:rPr>
        <w:t>仍有部分</w:t>
      </w:r>
      <w:r>
        <w:rPr>
          <w:rFonts w:ascii="Times New Roman" w:hAnsi="Times New Roman" w:eastAsia="宋体"/>
          <w:color w:val="auto"/>
          <w:kern w:val="0"/>
          <w:sz w:val="21"/>
          <w:szCs w:val="24"/>
        </w:rPr>
        <w:t>没能达到日常生活活动的行走水平</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NE.Ref.{F7C0E7C7-F488-48DB-A78F-6ADB69B5DFBE}</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w:t>
      </w:r>
      <w:r>
        <w:rPr>
          <w:rFonts w:hint="eastAsia" w:ascii="Times New Roman" w:hAnsi="Times New Roman" w:eastAsia="宋体"/>
          <w:color w:val="auto"/>
          <w:sz w:val="21"/>
          <w:szCs w:val="24"/>
          <w:vertAlign w:val="superscript"/>
          <w:lang w:val="en-US" w:eastAsia="zh-CN"/>
        </w:rPr>
        <w:t>-</w:t>
      </w:r>
      <w:r>
        <w:rPr>
          <w:rFonts w:hint="eastAsia" w:ascii="Times New Roman" w:hAnsi="Times New Roman" w:eastAsia="宋体"/>
          <w:color w:val="auto"/>
          <w:sz w:val="21"/>
          <w:szCs w:val="24"/>
          <w:vertAlign w:val="superscript"/>
        </w:rPr>
        <w:t>4]</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。不对称姿势控制是脑卒中偏瘫患者的一个显著特征，这种不对称表现为空间和时间的不对称</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NE.Ref.{0690F636-98E8-4365-9140-D2A52E15268F}</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[5-7]</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。行走时不对称的姿势控制会导致平衡控制不足</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NE.Ref.{9EBC2086-9E50-444F-A1D3-A1CE48AE3F96}</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w:t>
      </w:r>
      <w:r>
        <w:rPr>
          <w:rFonts w:hint="eastAsia" w:ascii="Times New Roman" w:hAnsi="Times New Roman" w:eastAsia="宋体"/>
          <w:color w:val="auto"/>
          <w:sz w:val="21"/>
          <w:szCs w:val="24"/>
          <w:vertAlign w:val="superscript"/>
        </w:rPr>
        <w:t>8</w:t>
      </w:r>
      <w:r>
        <w:rPr>
          <w:rFonts w:ascii="Times New Roman" w:hAnsi="Times New Roman" w:eastAsia="宋体"/>
          <w:color w:val="auto"/>
          <w:sz w:val="21"/>
          <w:szCs w:val="24"/>
          <w:vertAlign w:val="superscript"/>
        </w:rPr>
        <w:t>]</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、能量消耗增加</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NE.Ref.{A3E8745D-2F6D-4B04-B46E-A9B7CF61684B}</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、肌肉骨骼退化和疼痛的风险增加</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NE.Ref.{7F03C99D-7DE1-4876-9EE0-D3E7CC7D5551}</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[10]</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、日常活动水平降低</w:t>
      </w:r>
      <w:r>
        <w:rPr>
          <w:rFonts w:hint="eastAsia" w:ascii="Times New Roman" w:hAnsi="Times New Roman" w:eastAsia="宋体"/>
          <w:color w:val="auto"/>
          <w:sz w:val="21"/>
          <w:szCs w:val="24"/>
          <w:vertAlign w:val="superscript"/>
        </w:rPr>
        <w:t>[11]</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NE.Ref.{4B9BAF19-24EB-4899-91FA-E8BC6E63EA12}</w:instrTex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和跌倒风险增加</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NE.Ref.{7EF66B43-B6E3-4C99-BB2E-C3E1CC8CC330}</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[12]</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等问题。</w:t>
      </w:r>
    </w:p>
    <w:p w14:paraId="7A261653">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步态功能障碍的生物力学研究通常侧重于下肢关节运动学和动力学的偏差</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NE.Ref.{E528DACC-5776-4206-954B-CA80BD3059AB}</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[7</w:t>
      </w:r>
      <w:r>
        <w:rPr>
          <w:rFonts w:hint="eastAsia" w:ascii="Times New Roman" w:hAnsi="Times New Roman" w:eastAsia="宋体"/>
          <w:color w:val="auto"/>
          <w:sz w:val="21"/>
          <w:szCs w:val="24"/>
          <w:vertAlign w:val="superscript"/>
          <w:lang w:eastAsia="zh-CN"/>
        </w:rPr>
        <w:t>，</w:t>
      </w:r>
      <w:r>
        <w:rPr>
          <w:rFonts w:ascii="Times New Roman" w:hAnsi="Times New Roman" w:eastAsia="宋体"/>
          <w:color w:val="auto"/>
          <w:sz w:val="21"/>
          <w:szCs w:val="24"/>
          <w:vertAlign w:val="superscript"/>
        </w:rPr>
        <w:t>13]</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，很少关注骨盆的运动。骨盆作为人体结构的枢纽，将躯干连接到下肢，骨盆的肌肉控制对行走过程中的动态平衡和重量传递至关重要</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NE.Ref.{21CD31BC-BD66-455D-8084-785258DD9A87}</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[14]</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正常成人</w:t>
      </w:r>
      <w:r>
        <w:rPr>
          <w:rFonts w:ascii="Times New Roman" w:hAnsi="Times New Roman" w:eastAsia="宋体"/>
          <w:color w:val="auto"/>
          <w:kern w:val="0"/>
          <w:sz w:val="21"/>
          <w:szCs w:val="24"/>
        </w:rPr>
        <w:t>骨盆在矢状面上</w:t>
      </w:r>
      <w:r>
        <w:rPr>
          <w:rFonts w:hint="eastAsia" w:ascii="Times New Roman" w:hAnsi="Times New Roman" w:eastAsia="宋体"/>
          <w:color w:val="auto"/>
          <w:kern w:val="0"/>
          <w:sz w:val="21"/>
          <w:szCs w:val="24"/>
        </w:rPr>
        <w:t>前后</w:t>
      </w:r>
      <w:r>
        <w:rPr>
          <w:rFonts w:ascii="Times New Roman" w:hAnsi="Times New Roman" w:eastAsia="宋体"/>
          <w:color w:val="auto"/>
          <w:kern w:val="0"/>
          <w:sz w:val="21"/>
          <w:szCs w:val="24"/>
        </w:rPr>
        <w:t>倾斜的总运动范围为</w:t>
      </w:r>
      <w:r>
        <w:rPr>
          <w:rFonts w:hint="eastAsia" w:ascii="Times New Roman" w:hAnsi="Times New Roman" w:eastAsia="宋体"/>
          <w:color w:val="auto"/>
          <w:kern w:val="0"/>
          <w:sz w:val="21"/>
          <w:szCs w:val="24"/>
        </w:rPr>
        <w:t>4</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左右</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冠状</w:t>
      </w:r>
      <w:r>
        <w:rPr>
          <w:rFonts w:ascii="Times New Roman" w:hAnsi="Times New Roman" w:eastAsia="宋体"/>
          <w:color w:val="auto"/>
          <w:kern w:val="0"/>
          <w:sz w:val="21"/>
          <w:szCs w:val="24"/>
        </w:rPr>
        <w:t>面</w:t>
      </w:r>
      <w:r>
        <w:rPr>
          <w:rFonts w:hint="eastAsia" w:ascii="Times New Roman" w:hAnsi="Times New Roman" w:eastAsia="宋体"/>
          <w:color w:val="auto"/>
          <w:kern w:val="0"/>
          <w:sz w:val="21"/>
          <w:szCs w:val="24"/>
        </w:rPr>
        <w:t>左右侧</w:t>
      </w:r>
      <w:r>
        <w:rPr>
          <w:rFonts w:ascii="Times New Roman" w:hAnsi="Times New Roman" w:eastAsia="宋体"/>
          <w:color w:val="auto"/>
          <w:kern w:val="0"/>
          <w:sz w:val="21"/>
          <w:szCs w:val="24"/>
        </w:rPr>
        <w:t>倾为</w:t>
      </w:r>
      <w:r>
        <w:rPr>
          <w:rFonts w:hint="eastAsia" w:ascii="Times New Roman" w:hAnsi="Times New Roman" w:eastAsia="宋体"/>
          <w:color w:val="auto"/>
          <w:kern w:val="0"/>
          <w:sz w:val="21"/>
          <w:szCs w:val="24"/>
        </w:rPr>
        <w:t>7</w:t>
      </w:r>
      <w:r>
        <w:rPr>
          <w:rFonts w:ascii="Times New Roman" w:hAnsi="Times New Roman" w:eastAsia="宋体"/>
          <w:color w:val="auto"/>
          <w:kern w:val="0"/>
          <w:sz w:val="21"/>
          <w:szCs w:val="24"/>
        </w:rPr>
        <w:t>°</w:t>
      </w:r>
      <w:r>
        <w:rPr>
          <w:rFonts w:hint="eastAsia" w:ascii="Times New Roman" w:hAnsi="Times New Roman" w:eastAsia="宋体" w:cs="楷体"/>
          <w:color w:val="auto"/>
          <w:kern w:val="0"/>
          <w:sz w:val="21"/>
          <w:szCs w:val="24"/>
          <w:lang w:eastAsia="zh-CN"/>
        </w:rPr>
        <w:t>~</w:t>
      </w:r>
      <w:r>
        <w:rPr>
          <w:rFonts w:hint="eastAsia" w:ascii="Times New Roman" w:hAnsi="Times New Roman" w:eastAsia="宋体"/>
          <w:color w:val="auto"/>
          <w:kern w:val="0"/>
          <w:sz w:val="21"/>
          <w:szCs w:val="24"/>
        </w:rPr>
        <w:t>10</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，水平</w:t>
      </w:r>
      <w:r>
        <w:rPr>
          <w:rFonts w:ascii="Times New Roman" w:hAnsi="Times New Roman" w:eastAsia="宋体"/>
          <w:color w:val="auto"/>
          <w:kern w:val="0"/>
          <w:sz w:val="21"/>
          <w:szCs w:val="24"/>
        </w:rPr>
        <w:t>面旋转为1</w:t>
      </w:r>
      <w:r>
        <w:rPr>
          <w:rFonts w:hint="eastAsia" w:ascii="Times New Roman" w:hAnsi="Times New Roman" w:eastAsia="宋体"/>
          <w:color w:val="auto"/>
          <w:kern w:val="0"/>
          <w:sz w:val="21"/>
          <w:szCs w:val="24"/>
        </w:rPr>
        <w:t>2</w:t>
      </w:r>
      <w:r>
        <w:rPr>
          <w:rFonts w:ascii="Times New Roman" w:hAnsi="Times New Roman" w:eastAsia="宋体"/>
          <w:color w:val="auto"/>
          <w:kern w:val="0"/>
          <w:sz w:val="21"/>
          <w:szCs w:val="24"/>
        </w:rPr>
        <w:t>°</w:t>
      </w:r>
      <w:r>
        <w:rPr>
          <w:rFonts w:hint="eastAsia" w:ascii="Times New Roman" w:hAnsi="Times New Roman" w:eastAsia="宋体" w:cs="楷体"/>
          <w:color w:val="auto"/>
          <w:kern w:val="0"/>
          <w:sz w:val="21"/>
          <w:szCs w:val="24"/>
          <w:lang w:eastAsia="zh-CN"/>
        </w:rPr>
        <w:t>~</w:t>
      </w:r>
      <w:r>
        <w:rPr>
          <w:rFonts w:hint="eastAsia" w:ascii="Times New Roman" w:hAnsi="Times New Roman" w:eastAsia="宋体"/>
          <w:color w:val="auto"/>
          <w:kern w:val="0"/>
          <w:sz w:val="21"/>
          <w:szCs w:val="24"/>
        </w:rPr>
        <w:t>14</w:t>
      </w:r>
      <w:r>
        <w:rPr>
          <w:rFonts w:ascii="Times New Roman" w:hAnsi="Times New Roman" w:eastAsia="宋体"/>
          <w:color w:val="auto"/>
          <w:kern w:val="0"/>
          <w:sz w:val="21"/>
          <w:szCs w:val="24"/>
        </w:rPr>
        <w:t>°</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NE.Ref.{950001AD-ADE4-47BB-817D-D5D8801C8E77}</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[15</w:t>
      </w:r>
      <w:r>
        <w:rPr>
          <w:rFonts w:hint="eastAsia" w:ascii="Times New Roman" w:hAnsi="Times New Roman" w:eastAsia="宋体"/>
          <w:color w:val="auto"/>
          <w:sz w:val="21"/>
          <w:szCs w:val="24"/>
          <w:vertAlign w:val="superscript"/>
          <w:lang w:val="en-US" w:eastAsia="zh-CN"/>
        </w:rPr>
        <w:t>-</w:t>
      </w:r>
      <w:r>
        <w:rPr>
          <w:rFonts w:ascii="Times New Roman" w:hAnsi="Times New Roman" w:eastAsia="宋体"/>
          <w:color w:val="auto"/>
          <w:sz w:val="21"/>
          <w:szCs w:val="24"/>
          <w:vertAlign w:val="superscript"/>
        </w:rPr>
        <w:t>16]</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。早在1953年，</w:t>
      </w:r>
      <w:r>
        <w:rPr>
          <w:rFonts w:ascii="Times New Roman" w:hAnsi="Times New Roman" w:eastAsia="宋体"/>
          <w:color w:val="auto"/>
          <w:sz w:val="21"/>
          <w:szCs w:val="24"/>
        </w:rPr>
        <w:t>S</w:t>
      </w:r>
      <w:r>
        <w:rPr>
          <w:rFonts w:hint="eastAsia" w:ascii="Times New Roman" w:hAnsi="Times New Roman" w:eastAsia="宋体"/>
          <w:color w:val="auto"/>
          <w:sz w:val="21"/>
          <w:szCs w:val="24"/>
        </w:rPr>
        <w:t>aunders</w:t>
      </w:r>
      <w:r>
        <w:rPr>
          <w:rFonts w:hint="eastAsia" w:ascii="Times New Roman" w:hAnsi="Times New Roman" w:eastAsia="宋体"/>
          <w:color w:val="auto"/>
          <w:sz w:val="21"/>
          <w:szCs w:val="24"/>
          <w:lang w:eastAsia="zh-CN"/>
        </w:rPr>
        <w:t>等</w:t>
      </w:r>
      <w:r>
        <w:rPr>
          <w:rFonts w:ascii="Times New Roman" w:hAnsi="Times New Roman" w:eastAsia="宋体"/>
          <w:color w:val="auto"/>
          <w:kern w:val="0"/>
          <w:sz w:val="21"/>
          <w:szCs w:val="24"/>
          <w:vertAlign w:val="superscript"/>
        </w:rPr>
        <w:fldChar w:fldCharType="begin"/>
      </w:r>
      <w:r>
        <w:rPr>
          <w:rFonts w:ascii="Times New Roman" w:hAnsi="Times New Roman" w:eastAsia="宋体"/>
          <w:color w:val="auto"/>
          <w:kern w:val="0"/>
          <w:sz w:val="21"/>
          <w:szCs w:val="24"/>
          <w:vertAlign w:val="superscript"/>
        </w:rPr>
        <w:instrText xml:space="preserve"> ADDIN NE.Ref.{F1533DD1-5E31-4FE3-BEA9-FD29133AAEE6}</w:instrText>
      </w:r>
      <w:r>
        <w:rPr>
          <w:rFonts w:ascii="Times New Roman" w:hAnsi="Times New Roman" w:eastAsia="宋体"/>
          <w:color w:val="auto"/>
          <w:kern w:val="0"/>
          <w:sz w:val="21"/>
          <w:szCs w:val="24"/>
          <w:vertAlign w:val="superscript"/>
        </w:rPr>
        <w:fldChar w:fldCharType="separate"/>
      </w:r>
      <w:r>
        <w:rPr>
          <w:rFonts w:ascii="Times New Roman" w:hAnsi="Times New Roman" w:eastAsia="宋体"/>
          <w:color w:val="auto"/>
          <w:kern w:val="0"/>
          <w:sz w:val="21"/>
          <w:szCs w:val="24"/>
          <w:vertAlign w:val="superscript"/>
        </w:rPr>
        <w:t>[17]</w:t>
      </w:r>
      <w:r>
        <w:rPr>
          <w:rFonts w:ascii="Times New Roman" w:hAnsi="Times New Roman" w:eastAsia="宋体"/>
          <w:color w:val="auto"/>
          <w:kern w:val="0"/>
          <w:sz w:val="21"/>
          <w:szCs w:val="24"/>
          <w:vertAlign w:val="superscript"/>
        </w:rPr>
        <w:fldChar w:fldCharType="end"/>
      </w:r>
      <w:r>
        <w:rPr>
          <w:rFonts w:hint="eastAsia" w:ascii="Times New Roman" w:hAnsi="Times New Roman" w:eastAsia="宋体"/>
          <w:color w:val="auto"/>
          <w:kern w:val="0"/>
          <w:sz w:val="21"/>
          <w:szCs w:val="24"/>
        </w:rPr>
        <w:t>就</w:t>
      </w:r>
      <w:r>
        <w:rPr>
          <w:rFonts w:ascii="Times New Roman" w:hAnsi="Times New Roman" w:eastAsia="宋体"/>
          <w:color w:val="auto"/>
          <w:kern w:val="0"/>
          <w:sz w:val="21"/>
          <w:szCs w:val="24"/>
        </w:rPr>
        <w:t>定义了6个</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步态决定因素</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，其中包括骨盆旋转、骨盆倾斜和骨盆侧向运动，这些因素负责行走过程中的平衡和重心转移，并增加步幅</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NE.Ref.{DE501651-5100-481D-801B-DCCA9EF989FD}</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[18]</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。它们共同作用，能最大限度地提高正常行走的能量效率。因此，在评估和治疗脑卒中偏瘫步态时，应考虑骨盆稳定性下降及不对称性问题。</w:t>
      </w:r>
      <w:r>
        <w:rPr>
          <w:rFonts w:hint="eastAsia" w:ascii="Times New Roman" w:hAnsi="Times New Roman" w:eastAsia="宋体"/>
          <w:color w:val="auto"/>
          <w:kern w:val="0"/>
          <w:sz w:val="21"/>
          <w:szCs w:val="24"/>
        </w:rPr>
        <w:t>既往研究发现，脑卒中后偏瘫患者步行周期中通过骨盆倾斜增加</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NE.Ref.{70621823-CA10-409E-8224-EF5A31BCE521}</w:instrText>
      </w:r>
      <w:r>
        <w:rPr>
          <w:rFonts w:hint="eastAsia"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[14</w:t>
      </w:r>
      <w:r>
        <w:rPr>
          <w:rFonts w:hint="eastAsia" w:ascii="Times New Roman" w:hAnsi="Times New Roman" w:eastAsia="宋体"/>
          <w:color w:val="auto"/>
          <w:sz w:val="21"/>
          <w:szCs w:val="24"/>
          <w:vertAlign w:val="superscript"/>
          <w:lang w:eastAsia="zh-CN"/>
        </w:rPr>
        <w:t>，</w:t>
      </w:r>
      <w:r>
        <w:rPr>
          <w:rFonts w:ascii="Times New Roman" w:hAnsi="Times New Roman" w:eastAsia="宋体"/>
          <w:color w:val="auto"/>
          <w:sz w:val="21"/>
          <w:szCs w:val="24"/>
          <w:vertAlign w:val="superscript"/>
        </w:rPr>
        <w:t>19]</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、向上侧倾</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NE.Ref.{08E9B4E4-F48A-4F7A-8E3F-D45C546C94E8}</w:instrText>
      </w:r>
      <w:r>
        <w:rPr>
          <w:rFonts w:hint="eastAsia"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[20]</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等补偿策略重建行走模式，从而导致平衡能力下降、能量消耗增加等问题。</w:t>
      </w:r>
    </w:p>
    <w:p w14:paraId="22335854">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s="宋体"/>
          <w:color w:val="auto"/>
          <w:sz w:val="21"/>
          <w:szCs w:val="24"/>
        </w:rPr>
      </w:pPr>
      <w:r>
        <w:rPr>
          <w:rFonts w:hint="eastAsia" w:ascii="Times New Roman" w:hAnsi="Times New Roman" w:eastAsia="宋体"/>
          <w:color w:val="auto"/>
          <w:kern w:val="0"/>
          <w:sz w:val="21"/>
          <w:szCs w:val="24"/>
        </w:rPr>
        <w:t>但是临床中，脑卒中偏瘫患者随着步行时间的延长，其异常步态模式是越来越显著的。分析这种现象的原因，考虑与不对称姿势控制的错误反馈</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NE.Ref.{6FEF9AE2-ABB3-4C51-95B0-957855EDC14C}</w:instrText>
      </w:r>
      <w:r>
        <w:rPr>
          <w:rFonts w:hint="eastAsia"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[11]</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和肌肉疲劳</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NE.Ref.{44229679-A993-48EF-B80D-F2F8EB5D0B1C}</w:instrText>
      </w:r>
      <w:r>
        <w:rPr>
          <w:rFonts w:hint="eastAsia"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[21]</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等因素相关。另外，有研究显示</w:t>
      </w:r>
      <w:r>
        <w:rPr>
          <w:rFonts w:ascii="Times New Roman" w:hAnsi="Times New Roman" w:eastAsia="宋体"/>
          <w:color w:val="auto"/>
          <w:kern w:val="0"/>
          <w:sz w:val="21"/>
          <w:szCs w:val="24"/>
        </w:rPr>
        <w:t>步态障碍</w:t>
      </w:r>
      <w:r>
        <w:rPr>
          <w:rFonts w:hint="eastAsia" w:ascii="Times New Roman" w:hAnsi="Times New Roman" w:eastAsia="宋体"/>
          <w:color w:val="auto"/>
          <w:kern w:val="0"/>
          <w:sz w:val="21"/>
          <w:szCs w:val="24"/>
        </w:rPr>
        <w:t>严重的</w:t>
      </w:r>
      <w:r>
        <w:rPr>
          <w:rFonts w:ascii="Times New Roman" w:hAnsi="Times New Roman" w:eastAsia="宋体"/>
          <w:color w:val="auto"/>
          <w:kern w:val="0"/>
          <w:sz w:val="21"/>
          <w:szCs w:val="24"/>
        </w:rPr>
        <w:t>患者</w:t>
      </w:r>
      <w:r>
        <w:rPr>
          <w:rFonts w:hint="eastAsia" w:ascii="Times New Roman" w:hAnsi="Times New Roman" w:eastAsia="宋体"/>
          <w:color w:val="auto"/>
          <w:kern w:val="0"/>
          <w:sz w:val="21"/>
          <w:szCs w:val="24"/>
        </w:rPr>
        <w:t>，步行中的</w:t>
      </w:r>
      <w:r>
        <w:rPr>
          <w:rFonts w:ascii="Times New Roman" w:hAnsi="Times New Roman" w:eastAsia="宋体"/>
          <w:color w:val="auto"/>
          <w:kern w:val="0"/>
          <w:sz w:val="21"/>
          <w:szCs w:val="24"/>
        </w:rPr>
        <w:t>时间变异性和</w:t>
      </w:r>
      <w:r>
        <w:rPr>
          <w:rFonts w:hint="eastAsia" w:ascii="Times New Roman" w:hAnsi="Times New Roman" w:eastAsia="宋体"/>
          <w:color w:val="auto"/>
          <w:kern w:val="0"/>
          <w:sz w:val="21"/>
          <w:szCs w:val="24"/>
        </w:rPr>
        <w:t>步态</w:t>
      </w:r>
      <w:r>
        <w:rPr>
          <w:rFonts w:ascii="Times New Roman" w:hAnsi="Times New Roman" w:eastAsia="宋体"/>
          <w:color w:val="auto"/>
          <w:kern w:val="0"/>
          <w:sz w:val="21"/>
          <w:szCs w:val="24"/>
        </w:rPr>
        <w:t>不对称性</w:t>
      </w:r>
      <w:r>
        <w:rPr>
          <w:rFonts w:hint="eastAsia" w:ascii="Times New Roman" w:hAnsi="Times New Roman" w:eastAsia="宋体"/>
          <w:color w:val="auto"/>
          <w:kern w:val="0"/>
          <w:sz w:val="21"/>
          <w:szCs w:val="24"/>
        </w:rPr>
        <w:t>更</w:t>
      </w:r>
      <w:r>
        <w:rPr>
          <w:rFonts w:ascii="Times New Roman" w:hAnsi="Times New Roman" w:eastAsia="宋体"/>
          <w:color w:val="auto"/>
          <w:kern w:val="0"/>
          <w:sz w:val="21"/>
          <w:szCs w:val="24"/>
        </w:rPr>
        <w:t>显著</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NE.Ref.{0697BCF4-F542-45B8-A382-A9E74957C924}</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[22</w:t>
      </w:r>
      <w:r>
        <w:rPr>
          <w:rFonts w:hint="eastAsia" w:ascii="Times New Roman" w:hAnsi="Times New Roman" w:eastAsia="宋体"/>
          <w:color w:val="auto"/>
          <w:sz w:val="21"/>
          <w:szCs w:val="24"/>
          <w:vertAlign w:val="superscript"/>
          <w:lang w:val="en-US" w:eastAsia="zh-CN"/>
        </w:rPr>
        <w:t>-</w:t>
      </w:r>
      <w:r>
        <w:rPr>
          <w:rFonts w:hint="eastAsia" w:ascii="Times New Roman" w:hAnsi="Times New Roman" w:eastAsia="宋体"/>
          <w:color w:val="auto"/>
          <w:sz w:val="21"/>
          <w:szCs w:val="24"/>
          <w:vertAlign w:val="superscript"/>
        </w:rPr>
        <w:t>23]</w:t>
      </w:r>
      <w:r>
        <w:rPr>
          <w:rFonts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。基于上述研究，</w:t>
      </w:r>
      <w:r>
        <w:rPr>
          <w:rFonts w:hint="eastAsia" w:ascii="Times New Roman" w:hAnsi="Times New Roman" w:eastAsia="宋体"/>
          <w:color w:val="auto"/>
          <w:kern w:val="0"/>
          <w:sz w:val="21"/>
          <w:szCs w:val="24"/>
          <w:lang w:val="en-US" w:eastAsia="zh-CN"/>
        </w:rPr>
        <w:t>笔者</w:t>
      </w:r>
      <w:r>
        <w:rPr>
          <w:rFonts w:hint="eastAsia" w:ascii="Times New Roman" w:hAnsi="Times New Roman" w:eastAsia="宋体"/>
          <w:color w:val="auto"/>
          <w:kern w:val="0"/>
          <w:sz w:val="21"/>
          <w:szCs w:val="24"/>
        </w:rPr>
        <w:t>假设：脑卒中偏瘫患者在骨盆偏瘫侧和非偏瘫不对称性问题的基础上，其连续步行中的这种不对称性存在渐进性变化，</w:t>
      </w:r>
      <w:r>
        <w:rPr>
          <w:rFonts w:ascii="Times New Roman" w:hAnsi="Times New Roman" w:eastAsia="宋体"/>
          <w:color w:val="auto"/>
          <w:kern w:val="0"/>
          <w:sz w:val="21"/>
          <w:szCs w:val="24"/>
        </w:rPr>
        <w:t>不同步行能力</w:t>
      </w:r>
      <w:r>
        <w:rPr>
          <w:rFonts w:hint="eastAsia" w:ascii="Times New Roman" w:hAnsi="Times New Roman" w:eastAsia="宋体"/>
          <w:color w:val="auto"/>
          <w:kern w:val="0"/>
          <w:sz w:val="21"/>
          <w:szCs w:val="24"/>
        </w:rPr>
        <w:t>的</w:t>
      </w:r>
      <w:r>
        <w:rPr>
          <w:rFonts w:ascii="Times New Roman" w:hAnsi="Times New Roman" w:eastAsia="宋体"/>
          <w:color w:val="auto"/>
          <w:kern w:val="0"/>
          <w:sz w:val="21"/>
          <w:szCs w:val="24"/>
        </w:rPr>
        <w:t>患者</w:t>
      </w:r>
      <w:r>
        <w:rPr>
          <w:rFonts w:hint="eastAsia" w:ascii="Times New Roman" w:hAnsi="Times New Roman" w:eastAsia="宋体"/>
          <w:color w:val="auto"/>
          <w:kern w:val="0"/>
          <w:sz w:val="21"/>
          <w:szCs w:val="24"/>
        </w:rPr>
        <w:t>其骨盆</w:t>
      </w:r>
      <w:r>
        <w:rPr>
          <w:rFonts w:ascii="Times New Roman" w:hAnsi="Times New Roman" w:eastAsia="宋体"/>
          <w:color w:val="auto"/>
          <w:kern w:val="0"/>
          <w:sz w:val="21"/>
          <w:szCs w:val="24"/>
        </w:rPr>
        <w:t>渐进性变化</w:t>
      </w:r>
      <w:r>
        <w:rPr>
          <w:rFonts w:hint="eastAsia" w:ascii="Times New Roman" w:hAnsi="Times New Roman" w:eastAsia="宋体"/>
          <w:color w:val="auto"/>
          <w:kern w:val="0"/>
          <w:sz w:val="21"/>
          <w:szCs w:val="24"/>
        </w:rPr>
        <w:t>的不对称亦存在差异。</w:t>
      </w:r>
      <w:r>
        <w:rPr>
          <w:rFonts w:hint="eastAsia" w:ascii="Times New Roman" w:hAnsi="Times New Roman" w:eastAsia="宋体"/>
          <w:color w:val="auto"/>
          <w:kern w:val="0"/>
          <w:sz w:val="21"/>
          <w:szCs w:val="24"/>
          <w:lang w:val="en-US" w:eastAsia="zh-CN"/>
        </w:rPr>
        <w:t>现将研究内容报道如下。</w:t>
      </w:r>
      <w:r>
        <w:rPr>
          <w:rFonts w:hint="eastAsia" w:ascii="Times New Roman" w:hAnsi="Times New Roman" w:eastAsia="宋体"/>
          <w:color w:val="auto"/>
          <w:kern w:val="0"/>
          <w:sz w:val="21"/>
          <w:szCs w:val="24"/>
        </w:rPr>
        <w:t xml:space="preserve"> </w:t>
      </w:r>
    </w:p>
    <w:p w14:paraId="26D050D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b/>
          <w:bCs/>
          <w:color w:val="auto"/>
          <w:kern w:val="0"/>
          <w:sz w:val="21"/>
          <w:szCs w:val="24"/>
        </w:rPr>
      </w:pPr>
      <w:r>
        <w:rPr>
          <w:rFonts w:ascii="Times New Roman" w:hAnsi="Times New Roman" w:eastAsia="宋体"/>
          <w:b/>
          <w:bCs/>
          <w:color w:val="auto"/>
          <w:kern w:val="0"/>
          <w:sz w:val="21"/>
          <w:szCs w:val="24"/>
        </w:rPr>
        <w:t>资料</w:t>
      </w:r>
      <w:r>
        <w:rPr>
          <w:rFonts w:hint="eastAsia" w:ascii="Times New Roman" w:hAnsi="Times New Roman" w:eastAsia="宋体"/>
          <w:b/>
          <w:bCs/>
          <w:color w:val="auto"/>
          <w:kern w:val="0"/>
          <w:sz w:val="21"/>
          <w:szCs w:val="24"/>
          <w:lang w:val="en-US" w:eastAsia="zh-CN"/>
        </w:rPr>
        <w:t>与</w:t>
      </w:r>
      <w:r>
        <w:rPr>
          <w:rFonts w:ascii="Times New Roman" w:hAnsi="Times New Roman" w:eastAsia="宋体"/>
          <w:b/>
          <w:bCs/>
          <w:color w:val="auto"/>
          <w:kern w:val="0"/>
          <w:sz w:val="21"/>
          <w:szCs w:val="24"/>
        </w:rPr>
        <w:t>方法</w:t>
      </w:r>
    </w:p>
    <w:p w14:paraId="20B9A557">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一、</w:t>
      </w:r>
      <w:r>
        <w:rPr>
          <w:rFonts w:hint="eastAsia" w:ascii="Times New Roman" w:hAnsi="Times New Roman" w:eastAsia="宋体"/>
          <w:color w:val="auto"/>
          <w:kern w:val="0"/>
          <w:sz w:val="21"/>
          <w:szCs w:val="24"/>
          <w:lang w:val="en-US" w:eastAsia="zh-CN"/>
        </w:rPr>
        <w:t>对象</w:t>
      </w:r>
      <w:r>
        <w:rPr>
          <w:rFonts w:ascii="Times New Roman" w:hAnsi="Times New Roman" w:eastAsia="宋体"/>
          <w:color w:val="auto"/>
          <w:kern w:val="0"/>
          <w:sz w:val="21"/>
          <w:szCs w:val="24"/>
        </w:rPr>
        <w:t xml:space="preserve">  </w:t>
      </w:r>
    </w:p>
    <w:p w14:paraId="0A005AB1">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olor w:val="auto"/>
          <w:kern w:val="0"/>
          <w:sz w:val="21"/>
          <w:szCs w:val="24"/>
          <w:lang w:eastAsia="zh-CN"/>
        </w:rPr>
      </w:pPr>
      <w:r>
        <w:rPr>
          <w:rFonts w:ascii="Times New Roman" w:hAnsi="Times New Roman" w:eastAsia="宋体"/>
          <w:color w:val="auto"/>
          <w:kern w:val="0"/>
          <w:sz w:val="21"/>
          <w:szCs w:val="24"/>
        </w:rPr>
        <w:t>选取2020年10月</w:t>
      </w:r>
      <w:r>
        <w:rPr>
          <w:rFonts w:hint="eastAsia" w:ascii="Times New Roman" w:hAnsi="Times New Roman" w:eastAsia="宋体"/>
          <w:color w:val="auto"/>
          <w:kern w:val="0"/>
          <w:sz w:val="21"/>
          <w:szCs w:val="24"/>
          <w:lang w:val="en-US" w:eastAsia="zh-CN"/>
        </w:rPr>
        <w:t>至</w:t>
      </w:r>
      <w:r>
        <w:rPr>
          <w:rFonts w:ascii="Times New Roman" w:hAnsi="Times New Roman" w:eastAsia="宋体"/>
          <w:color w:val="auto"/>
          <w:kern w:val="0"/>
          <w:sz w:val="21"/>
          <w:szCs w:val="24"/>
        </w:rPr>
        <w:t>2022年9月中国康复研究中心北京博爱医院</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简称“</w:t>
      </w:r>
      <w:r>
        <w:rPr>
          <w:rFonts w:ascii="Times New Roman" w:hAnsi="Times New Roman" w:eastAsia="宋体"/>
          <w:color w:val="auto"/>
          <w:kern w:val="0"/>
          <w:sz w:val="21"/>
          <w:szCs w:val="24"/>
        </w:rPr>
        <w:t>我院</w:t>
      </w:r>
      <w:r>
        <w:rPr>
          <w:rFonts w:hint="eastAsia" w:ascii="Times New Roman" w:hAnsi="Times New Roman" w:eastAsia="宋体"/>
          <w:color w:val="auto"/>
          <w:kern w:val="0"/>
          <w:sz w:val="21"/>
          <w:szCs w:val="24"/>
          <w:lang w:val="en-US" w:eastAsia="zh-CN"/>
        </w:rPr>
        <w:t>”</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收治的脑卒中偏瘫患者25例。本研究经中国康复研究中心北京博爱医院伦理委员会</w:t>
      </w:r>
      <w:r>
        <w:rPr>
          <w:rFonts w:hint="eastAsia" w:ascii="Times New Roman" w:hAnsi="Times New Roman" w:eastAsia="宋体"/>
          <w:color w:val="auto"/>
          <w:kern w:val="0"/>
          <w:sz w:val="21"/>
          <w:szCs w:val="24"/>
          <w:lang w:val="en-US" w:eastAsia="zh-CN"/>
        </w:rPr>
        <w:t>批准</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rPr>
        <w:t>伦理批件号：2020-054-1</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所有患者均签署知情同意书。</w:t>
      </w:r>
    </w:p>
    <w:p w14:paraId="252CFDB6">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纳入标准：</w:t>
      </w:r>
      <w:r>
        <w:rPr>
          <w:rFonts w:hint="eastAsia" w:ascii="Times New Roman" w:hAnsi="Times New Roman" w:eastAsia="宋体"/>
          <w:color w:val="auto"/>
          <w:sz w:val="21"/>
          <w:lang w:val="en-US" w:eastAsia="zh-CN"/>
        </w:rPr>
        <w:t>（1）</w:t>
      </w:r>
      <w:r>
        <w:rPr>
          <w:rFonts w:ascii="Times New Roman" w:hAnsi="Times New Roman" w:eastAsia="宋体"/>
          <w:color w:val="auto"/>
          <w:kern w:val="0"/>
          <w:sz w:val="21"/>
          <w:szCs w:val="24"/>
        </w:rPr>
        <w:t>符合《</w:t>
      </w:r>
      <w:r>
        <w:rPr>
          <w:rFonts w:hint="eastAsia" w:ascii="Times New Roman" w:hAnsi="Times New Roman" w:eastAsia="宋体"/>
          <w:color w:val="auto"/>
          <w:sz w:val="21"/>
          <w:szCs w:val="24"/>
          <w:lang w:bidi="ar"/>
        </w:rPr>
        <w:t>中国各类主要脑血管病诊断要点2019</w:t>
      </w:r>
      <w:r>
        <w:rPr>
          <w:rFonts w:ascii="Times New Roman" w:hAnsi="Times New Roman" w:eastAsia="宋体"/>
          <w:color w:val="auto"/>
          <w:kern w:val="0"/>
          <w:sz w:val="21"/>
          <w:szCs w:val="24"/>
        </w:rPr>
        <w:t>》</w:t>
      </w:r>
      <w:r>
        <w:rPr>
          <w:rFonts w:ascii="Times New Roman" w:hAnsi="Times New Roman" w:eastAsia="宋体"/>
          <w:color w:val="auto"/>
          <w:kern w:val="0"/>
          <w:sz w:val="21"/>
          <w:szCs w:val="24"/>
          <w:vertAlign w:val="superscript"/>
        </w:rPr>
        <w:fldChar w:fldCharType="begin"/>
      </w:r>
      <w:r>
        <w:rPr>
          <w:rFonts w:hint="eastAsia" w:ascii="Times New Roman" w:hAnsi="Times New Roman" w:eastAsia="宋体"/>
          <w:color w:val="auto"/>
          <w:kern w:val="0"/>
          <w:sz w:val="21"/>
          <w:szCs w:val="24"/>
          <w:vertAlign w:val="superscript"/>
        </w:rPr>
        <w:instrText xml:space="preserve"> ADDIN NE.Ref.{C3AD2797-B6CE-40FF-A426-A1044EF80186}</w:instrText>
      </w:r>
      <w:r>
        <w:rPr>
          <w:rFonts w:ascii="Times New Roman" w:hAnsi="Times New Roman" w:eastAsia="宋体"/>
          <w:color w:val="auto"/>
          <w:kern w:val="0"/>
          <w:sz w:val="21"/>
          <w:szCs w:val="24"/>
          <w:vertAlign w:val="superscript"/>
        </w:rPr>
        <w:fldChar w:fldCharType="separate"/>
      </w:r>
      <w:r>
        <w:rPr>
          <w:rFonts w:ascii="Times New Roman" w:hAnsi="Times New Roman" w:eastAsia="宋体"/>
          <w:color w:val="auto"/>
          <w:sz w:val="21"/>
          <w:szCs w:val="24"/>
          <w:vertAlign w:val="superscript"/>
        </w:rPr>
        <w:t>[24]</w:t>
      </w:r>
      <w:r>
        <w:rPr>
          <w:rFonts w:ascii="Times New Roman" w:hAnsi="Times New Roman" w:eastAsia="宋体"/>
          <w:color w:val="auto"/>
          <w:kern w:val="0"/>
          <w:sz w:val="21"/>
          <w:szCs w:val="24"/>
          <w:vertAlign w:val="superscript"/>
        </w:rPr>
        <w:fldChar w:fldCharType="end"/>
      </w:r>
      <w:r>
        <w:rPr>
          <w:rFonts w:hint="eastAsia" w:ascii="Times New Roman" w:hAnsi="Times New Roman" w:eastAsia="宋体"/>
          <w:color w:val="auto"/>
          <w:kern w:val="0"/>
          <w:sz w:val="21"/>
          <w:szCs w:val="24"/>
          <w:lang w:eastAsia="zh-CN"/>
        </w:rPr>
        <w:t>中关于</w:t>
      </w:r>
      <w:r>
        <w:rPr>
          <w:rFonts w:ascii="Times New Roman" w:hAnsi="Times New Roman" w:eastAsia="宋体"/>
          <w:color w:val="auto"/>
          <w:kern w:val="0"/>
          <w:sz w:val="21"/>
          <w:szCs w:val="24"/>
        </w:rPr>
        <w:t>脑卒中</w:t>
      </w:r>
      <w:r>
        <w:rPr>
          <w:rFonts w:hint="eastAsia" w:ascii="Times New Roman" w:hAnsi="Times New Roman" w:eastAsia="宋体"/>
          <w:color w:val="auto"/>
          <w:kern w:val="0"/>
          <w:sz w:val="21"/>
          <w:szCs w:val="24"/>
          <w:lang w:eastAsia="zh-CN"/>
        </w:rPr>
        <w:t>的</w:t>
      </w:r>
      <w:r>
        <w:rPr>
          <w:rFonts w:ascii="Times New Roman" w:hAnsi="Times New Roman" w:eastAsia="宋体"/>
          <w:color w:val="auto"/>
          <w:kern w:val="0"/>
          <w:sz w:val="21"/>
          <w:szCs w:val="24"/>
        </w:rPr>
        <w:t>诊断</w:t>
      </w:r>
      <w:r>
        <w:rPr>
          <w:rFonts w:hint="eastAsia" w:ascii="Times New Roman" w:hAnsi="Times New Roman" w:eastAsia="宋体"/>
          <w:color w:val="auto"/>
          <w:kern w:val="0"/>
          <w:sz w:val="21"/>
          <w:szCs w:val="24"/>
          <w:lang w:eastAsia="zh-CN"/>
        </w:rPr>
        <w:t>标准</w:t>
      </w:r>
      <w:r>
        <w:rPr>
          <w:rFonts w:ascii="Times New Roman" w:hAnsi="Times New Roman" w:eastAsia="宋体"/>
          <w:color w:val="auto"/>
          <w:kern w:val="0"/>
          <w:sz w:val="21"/>
          <w:szCs w:val="24"/>
        </w:rPr>
        <w:t>，首次脑卒中致一侧肢体功能障碍；</w:t>
      </w:r>
      <w:r>
        <w:rPr>
          <w:rFonts w:hint="eastAsia" w:ascii="Times New Roman" w:hAnsi="Times New Roman" w:eastAsia="宋体"/>
          <w:color w:val="auto"/>
          <w:sz w:val="21"/>
          <w:lang w:val="en-US" w:eastAsia="zh-CN"/>
        </w:rPr>
        <w:t>（2）</w:t>
      </w:r>
      <w:r>
        <w:rPr>
          <w:rFonts w:ascii="Times New Roman" w:hAnsi="Times New Roman" w:eastAsia="宋体"/>
          <w:color w:val="auto"/>
          <w:kern w:val="0"/>
          <w:sz w:val="21"/>
          <w:szCs w:val="24"/>
        </w:rPr>
        <w:t>经头颅CT或</w:t>
      </w:r>
      <w:r>
        <w:rPr>
          <w:rFonts w:hint="eastAsia" w:ascii="Times New Roman" w:hAnsi="Times New Roman" w:eastAsia="宋体"/>
          <w:color w:val="auto"/>
          <w:kern w:val="0"/>
          <w:sz w:val="21"/>
          <w:szCs w:val="24"/>
        </w:rPr>
        <w:t>磁共振成像</w:t>
      </w:r>
      <w:r>
        <w:rPr>
          <w:rFonts w:ascii="Times New Roman" w:hAnsi="Times New Roman" w:eastAsia="宋体"/>
          <w:color w:val="auto"/>
          <w:kern w:val="0"/>
          <w:sz w:val="21"/>
          <w:szCs w:val="24"/>
        </w:rPr>
        <w:t>确诊为首次脑卒中，病程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3</w:t>
      </w:r>
      <w:r>
        <w:rPr>
          <w:rFonts w:hint="eastAsia" w:ascii="Times New Roman" w:hAnsi="Times New Roman" w:eastAsia="宋体"/>
          <w:color w:val="auto"/>
          <w:kern w:val="0"/>
          <w:sz w:val="21"/>
          <w:szCs w:val="24"/>
          <w:lang w:val="en-US" w:eastAsia="zh-CN"/>
        </w:rPr>
        <w:t>个</w:t>
      </w:r>
      <w:r>
        <w:rPr>
          <w:rFonts w:ascii="Times New Roman" w:hAnsi="Times New Roman" w:eastAsia="宋体"/>
          <w:color w:val="auto"/>
          <w:kern w:val="0"/>
          <w:sz w:val="21"/>
          <w:szCs w:val="24"/>
        </w:rPr>
        <w:t>月；</w:t>
      </w:r>
      <w:r>
        <w:rPr>
          <w:rFonts w:hint="eastAsia" w:ascii="Times New Roman" w:hAnsi="Times New Roman" w:eastAsia="宋体"/>
          <w:color w:val="auto"/>
          <w:sz w:val="21"/>
          <w:lang w:val="en-US" w:eastAsia="zh-CN"/>
        </w:rPr>
        <w:t>（3）</w:t>
      </w:r>
      <w:r>
        <w:rPr>
          <w:rFonts w:ascii="Times New Roman" w:hAnsi="Times New Roman" w:eastAsia="宋体"/>
          <w:color w:val="auto"/>
          <w:kern w:val="0"/>
          <w:sz w:val="21"/>
          <w:szCs w:val="24"/>
        </w:rPr>
        <w:t>年龄18</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65岁；</w:t>
      </w:r>
      <w:r>
        <w:rPr>
          <w:rFonts w:hint="eastAsia" w:ascii="Times New Roman" w:hAnsi="Times New Roman" w:eastAsia="宋体"/>
          <w:color w:val="auto"/>
          <w:sz w:val="21"/>
          <w:lang w:val="en-US" w:eastAsia="zh-CN"/>
        </w:rPr>
        <w:t>（4）</w:t>
      </w:r>
      <w:r>
        <w:rPr>
          <w:rFonts w:ascii="Times New Roman" w:hAnsi="Times New Roman" w:eastAsia="宋体"/>
          <w:color w:val="auto"/>
          <w:kern w:val="0"/>
          <w:sz w:val="21"/>
          <w:szCs w:val="24"/>
        </w:rPr>
        <w:t>意识清楚，能理解指令</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并有</w:t>
      </w:r>
      <w:r>
        <w:rPr>
          <w:rFonts w:ascii="Times New Roman" w:hAnsi="Times New Roman" w:eastAsia="宋体"/>
          <w:color w:val="auto"/>
          <w:kern w:val="0"/>
          <w:sz w:val="21"/>
          <w:szCs w:val="24"/>
        </w:rPr>
        <w:t>良好的口头交流能力；</w:t>
      </w:r>
      <w:r>
        <w:rPr>
          <w:rFonts w:hint="eastAsia" w:ascii="Times New Roman" w:hAnsi="Times New Roman" w:eastAsia="宋体"/>
          <w:color w:val="auto"/>
          <w:sz w:val="21"/>
          <w:lang w:val="en-US" w:eastAsia="zh-CN"/>
        </w:rPr>
        <w:t>（5）</w:t>
      </w:r>
      <w:r>
        <w:rPr>
          <w:rFonts w:ascii="Times New Roman" w:hAnsi="Times New Roman" w:eastAsia="宋体"/>
          <w:color w:val="auto"/>
          <w:kern w:val="0"/>
          <w:sz w:val="21"/>
          <w:szCs w:val="24"/>
        </w:rPr>
        <w:t>病情稳定，能够参加最大限度的运动测试；</w:t>
      </w:r>
      <w:r>
        <w:rPr>
          <w:rFonts w:hint="eastAsia" w:ascii="Times New Roman" w:hAnsi="Times New Roman" w:eastAsia="宋体"/>
          <w:color w:val="auto"/>
          <w:sz w:val="21"/>
          <w:lang w:val="en-US" w:eastAsia="zh-CN"/>
        </w:rPr>
        <w:t>（6）</w:t>
      </w:r>
      <w:r>
        <w:rPr>
          <w:rFonts w:ascii="Times New Roman" w:hAnsi="Times New Roman" w:eastAsia="宋体"/>
          <w:color w:val="auto"/>
          <w:kern w:val="0"/>
          <w:sz w:val="21"/>
          <w:szCs w:val="24"/>
        </w:rPr>
        <w:t>偏瘫侧下肢Brunnstrom分期</w:t>
      </w:r>
      <w:r>
        <w:rPr>
          <w:rFonts w:hint="eastAsia" w:ascii="Times New Roman" w:hAnsi="Times New Roman" w:eastAsia="宋体" w:cstheme="minorEastAsia"/>
          <w:color w:val="auto"/>
          <w:kern w:val="0"/>
          <w:sz w:val="21"/>
          <w:szCs w:val="24"/>
          <w:lang w:eastAsia="zh-CN"/>
        </w:rPr>
        <w:t>≥</w:t>
      </w:r>
      <w:r>
        <w:rPr>
          <w:rFonts w:hint="eastAsia" w:ascii="Times New Roman" w:hAnsi="Times New Roman" w:eastAsia="宋体"/>
          <w:color w:val="auto"/>
          <w:sz w:val="21"/>
          <w:szCs w:val="21"/>
        </w:rPr>
        <w:t>Ⅳ</w:t>
      </w:r>
      <w:r>
        <w:rPr>
          <w:rFonts w:ascii="Times New Roman" w:hAnsi="Times New Roman" w:eastAsia="宋体"/>
          <w:color w:val="auto"/>
          <w:kern w:val="0"/>
          <w:sz w:val="21"/>
          <w:szCs w:val="24"/>
        </w:rPr>
        <w:t>期、改良Ashworth分级</w:t>
      </w:r>
      <w:r>
        <w:rPr>
          <w:rFonts w:hint="eastAsia" w:ascii="Times New Roman" w:hAnsi="Times New Roman" w:eastAsia="宋体" w:cs="宋体"/>
          <w:color w:val="auto"/>
          <w:kern w:val="0"/>
          <w:sz w:val="21"/>
          <w:szCs w:val="24"/>
          <w:lang w:eastAsia="zh-CN"/>
        </w:rPr>
        <w:t>≤</w:t>
      </w:r>
      <w:r>
        <w:rPr>
          <w:rFonts w:ascii="Times New Roman" w:hAnsi="Times New Roman" w:eastAsia="宋体"/>
          <w:color w:val="auto"/>
          <w:kern w:val="0"/>
          <w:sz w:val="21"/>
          <w:szCs w:val="24"/>
        </w:rPr>
        <w:t>1+级；</w:t>
      </w:r>
      <w:r>
        <w:rPr>
          <w:rFonts w:hint="eastAsia" w:ascii="Times New Roman" w:hAnsi="Times New Roman" w:eastAsia="宋体"/>
          <w:color w:val="auto"/>
          <w:sz w:val="21"/>
          <w:lang w:val="en-US" w:eastAsia="zh-CN"/>
        </w:rPr>
        <w:t>（7）</w:t>
      </w:r>
      <w:r>
        <w:rPr>
          <w:rFonts w:ascii="Times New Roman" w:hAnsi="Times New Roman" w:eastAsia="宋体"/>
          <w:color w:val="auto"/>
          <w:kern w:val="0"/>
          <w:sz w:val="21"/>
          <w:szCs w:val="24"/>
        </w:rPr>
        <w:t>偏瘫侧下肢徒手肌力评定</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3级；</w:t>
      </w:r>
      <w:r>
        <w:rPr>
          <w:rFonts w:hint="eastAsia" w:ascii="Times New Roman" w:hAnsi="Times New Roman" w:eastAsia="宋体"/>
          <w:color w:val="auto"/>
          <w:sz w:val="21"/>
          <w:lang w:val="en-US" w:eastAsia="zh-CN"/>
        </w:rPr>
        <w:t>（8）</w:t>
      </w:r>
      <w:r>
        <w:rPr>
          <w:rFonts w:ascii="Times New Roman" w:hAnsi="Times New Roman" w:eastAsia="宋体"/>
          <w:color w:val="auto"/>
          <w:kern w:val="0"/>
          <w:sz w:val="21"/>
          <w:szCs w:val="24"/>
        </w:rPr>
        <w:t>Holden步行功能评级</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4级，能够独立步行</w:t>
      </w:r>
      <w:r>
        <w:rPr>
          <w:rFonts w:hint="eastAsia" w:ascii="Times New Roman" w:hAnsi="Times New Roman" w:eastAsia="宋体"/>
          <w:color w:val="auto"/>
          <w:kern w:val="0"/>
          <w:sz w:val="21"/>
          <w:szCs w:val="24"/>
          <w:lang w:eastAsia="zh-CN"/>
        </w:rPr>
        <w:t>50</w:t>
      </w:r>
      <w:r>
        <w:rPr>
          <w:rFonts w:hint="eastAsia" w:ascii="Times New Roman" w:hAnsi="Times New Roman" w:eastAsia="宋体" w:cs="Times New Roman"/>
          <w:color w:val="auto"/>
          <w:kern w:val="0"/>
          <w:sz w:val="21"/>
          <w:szCs w:val="24"/>
          <w:lang w:val="en-US" w:eastAsia="zh-CN"/>
        </w:rPr>
        <w:t xml:space="preserve"> </w:t>
      </w:r>
      <w:r>
        <w:rPr>
          <w:rFonts w:hint="eastAsia" w:ascii="Times New Roman" w:hAnsi="Times New Roman" w:eastAsia="宋体"/>
          <w:color w:val="auto"/>
          <w:kern w:val="0"/>
          <w:sz w:val="21"/>
          <w:szCs w:val="24"/>
          <w:lang w:eastAsia="zh-CN"/>
        </w:rPr>
        <w:t>m</w:t>
      </w:r>
      <w:r>
        <w:rPr>
          <w:rFonts w:ascii="Times New Roman" w:hAnsi="Times New Roman" w:eastAsia="宋体"/>
          <w:color w:val="auto"/>
          <w:kern w:val="0"/>
          <w:sz w:val="21"/>
          <w:szCs w:val="24"/>
        </w:rPr>
        <w:t>以上；</w:t>
      </w:r>
      <w:r>
        <w:rPr>
          <w:rFonts w:hint="eastAsia" w:ascii="Times New Roman" w:hAnsi="Times New Roman" w:eastAsia="宋体"/>
          <w:color w:val="auto"/>
          <w:sz w:val="21"/>
          <w:lang w:val="en-US" w:eastAsia="zh-CN"/>
        </w:rPr>
        <w:t>（9）</w:t>
      </w:r>
      <w:r>
        <w:rPr>
          <w:rFonts w:ascii="Times New Roman" w:hAnsi="Times New Roman" w:eastAsia="宋体"/>
          <w:color w:val="auto"/>
          <w:kern w:val="0"/>
          <w:sz w:val="21"/>
          <w:szCs w:val="24"/>
        </w:rPr>
        <w:t>Berg平衡量表评分</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40分。</w:t>
      </w:r>
    </w:p>
    <w:p w14:paraId="4A0DF420">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排除标准：</w:t>
      </w:r>
      <w:r>
        <w:rPr>
          <w:rFonts w:hint="eastAsia" w:ascii="Times New Roman" w:hAnsi="Times New Roman" w:eastAsia="宋体"/>
          <w:color w:val="auto"/>
          <w:sz w:val="21"/>
          <w:lang w:val="en-US" w:eastAsia="zh-CN"/>
        </w:rPr>
        <w:t>（1）</w:t>
      </w:r>
      <w:r>
        <w:rPr>
          <w:rFonts w:ascii="Times New Roman" w:hAnsi="Times New Roman" w:eastAsia="宋体"/>
          <w:color w:val="auto"/>
          <w:kern w:val="0"/>
          <w:sz w:val="21"/>
          <w:szCs w:val="24"/>
        </w:rPr>
        <w:t>病情不稳定患者；</w:t>
      </w:r>
      <w:r>
        <w:rPr>
          <w:rFonts w:hint="eastAsia" w:ascii="Times New Roman" w:hAnsi="Times New Roman" w:eastAsia="宋体"/>
          <w:color w:val="auto"/>
          <w:sz w:val="21"/>
          <w:lang w:val="en-US" w:eastAsia="zh-CN"/>
        </w:rPr>
        <w:t>（2）</w:t>
      </w:r>
      <w:r>
        <w:rPr>
          <w:rFonts w:ascii="Times New Roman" w:hAnsi="Times New Roman" w:eastAsia="宋体"/>
          <w:color w:val="auto"/>
          <w:kern w:val="0"/>
          <w:sz w:val="21"/>
          <w:szCs w:val="24"/>
        </w:rPr>
        <w:t>小脑卒中患者；</w:t>
      </w:r>
      <w:r>
        <w:rPr>
          <w:rFonts w:hint="eastAsia" w:ascii="Times New Roman" w:hAnsi="Times New Roman" w:eastAsia="宋体"/>
          <w:color w:val="auto"/>
          <w:sz w:val="21"/>
          <w:lang w:val="en-US" w:eastAsia="zh-CN"/>
        </w:rPr>
        <w:t>（3）存在</w:t>
      </w:r>
      <w:r>
        <w:rPr>
          <w:rFonts w:ascii="Times New Roman" w:hAnsi="Times New Roman" w:eastAsia="宋体"/>
          <w:color w:val="auto"/>
          <w:kern w:val="0"/>
          <w:sz w:val="21"/>
          <w:szCs w:val="24"/>
        </w:rPr>
        <w:t>其他神经、精神问题或导致难以遵守计划的障碍；</w:t>
      </w:r>
      <w:r>
        <w:rPr>
          <w:rFonts w:hint="eastAsia" w:ascii="Times New Roman" w:hAnsi="Times New Roman" w:eastAsia="宋体"/>
          <w:color w:val="auto"/>
          <w:sz w:val="21"/>
          <w:lang w:val="en-US" w:eastAsia="zh-CN"/>
        </w:rPr>
        <w:t>（4）</w:t>
      </w:r>
      <w:r>
        <w:rPr>
          <w:rFonts w:ascii="Times New Roman" w:hAnsi="Times New Roman" w:eastAsia="宋体"/>
          <w:color w:val="auto"/>
          <w:kern w:val="0"/>
          <w:sz w:val="21"/>
          <w:szCs w:val="24"/>
        </w:rPr>
        <w:t>其他引起步行功能障碍的疾病，如帕金森病、脊髓损伤、周围神经病变、下肢骨折及严重的下肢骨关节病等；</w:t>
      </w:r>
      <w:r>
        <w:rPr>
          <w:rFonts w:hint="eastAsia" w:ascii="Times New Roman" w:hAnsi="Times New Roman" w:eastAsia="宋体"/>
          <w:color w:val="auto"/>
          <w:sz w:val="21"/>
          <w:lang w:val="en-US" w:eastAsia="zh-CN"/>
        </w:rPr>
        <w:t>（5）</w:t>
      </w:r>
      <w:r>
        <w:rPr>
          <w:rFonts w:ascii="Times New Roman" w:hAnsi="Times New Roman" w:eastAsia="宋体"/>
          <w:color w:val="auto"/>
          <w:kern w:val="0"/>
          <w:sz w:val="21"/>
          <w:szCs w:val="24"/>
        </w:rPr>
        <w:t>并发严重内科疾病，如呼吸衰竭、心力衰竭和重症肺炎等。</w:t>
      </w:r>
    </w:p>
    <w:p w14:paraId="0ECA78A3">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二、</w:t>
      </w:r>
      <w:r>
        <w:rPr>
          <w:rFonts w:ascii="Times New Roman" w:hAnsi="Times New Roman" w:eastAsia="宋体"/>
          <w:color w:val="auto"/>
          <w:kern w:val="0"/>
          <w:sz w:val="21"/>
          <w:szCs w:val="24"/>
        </w:rPr>
        <w:t>方法</w:t>
      </w:r>
    </w:p>
    <w:p w14:paraId="0882B805">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（一）</w:t>
      </w:r>
      <w:r>
        <w:rPr>
          <w:rFonts w:ascii="Times New Roman" w:hAnsi="Times New Roman" w:eastAsia="宋体"/>
          <w:color w:val="auto"/>
          <w:kern w:val="0"/>
          <w:sz w:val="21"/>
          <w:szCs w:val="24"/>
        </w:rPr>
        <w:t>测试过程</w:t>
      </w:r>
    </w:p>
    <w:p w14:paraId="19DA5124">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本研究所有测试均在</w:t>
      </w:r>
      <w:r>
        <w:rPr>
          <w:rFonts w:hint="eastAsia" w:ascii="Times New Roman" w:hAnsi="Times New Roman" w:eastAsia="宋体"/>
          <w:color w:val="auto"/>
          <w:kern w:val="0"/>
          <w:sz w:val="21"/>
          <w:szCs w:val="24"/>
          <w:lang w:eastAsia="zh-CN"/>
        </w:rPr>
        <w:t>我</w:t>
      </w:r>
      <w:r>
        <w:rPr>
          <w:rFonts w:ascii="Times New Roman" w:hAnsi="Times New Roman" w:eastAsia="宋体"/>
          <w:color w:val="auto"/>
          <w:kern w:val="0"/>
          <w:sz w:val="21"/>
          <w:szCs w:val="24"/>
        </w:rPr>
        <w:t>院步态分析实验室进行。每个受试者下半身放置38个反射标记。步行轨迹由</w:t>
      </w:r>
      <w:r>
        <w:rPr>
          <w:rFonts w:hint="eastAsia" w:ascii="Times New Roman" w:hAnsi="Times New Roman" w:eastAsia="宋体"/>
          <w:color w:val="auto"/>
          <w:kern w:val="0"/>
          <w:sz w:val="21"/>
          <w:szCs w:val="24"/>
          <w:lang w:val="en-US" w:eastAsia="zh-CN"/>
        </w:rPr>
        <w:t>6</w:t>
      </w:r>
      <w:r>
        <w:rPr>
          <w:rFonts w:ascii="Times New Roman" w:hAnsi="Times New Roman" w:eastAsia="宋体"/>
          <w:color w:val="auto"/>
          <w:kern w:val="0"/>
          <w:sz w:val="21"/>
          <w:szCs w:val="24"/>
        </w:rPr>
        <w:t>个摄像头Qualisys运动捕捉系统（瑞典Qualisys AB）以200 Hz的采样频率记录。采用美国C-Motion公司开发的Visual 3D分析软件对数据进行生物力学分析处理。</w:t>
      </w:r>
      <w:r>
        <w:rPr>
          <w:rFonts w:hint="eastAsia" w:ascii="Times New Roman" w:hAnsi="Times New Roman" w:eastAsia="宋体"/>
          <w:color w:val="auto"/>
          <w:kern w:val="0"/>
          <w:sz w:val="21"/>
          <w:szCs w:val="24"/>
          <w:lang w:val="en-US" w:eastAsia="zh-CN"/>
        </w:rPr>
        <w:t>其中，</w:t>
      </w:r>
      <w:r>
        <w:rPr>
          <w:rFonts w:ascii="Times New Roman" w:hAnsi="Times New Roman" w:eastAsia="宋体"/>
          <w:color w:val="auto"/>
          <w:kern w:val="0"/>
          <w:sz w:val="21"/>
          <w:szCs w:val="24"/>
        </w:rPr>
        <w:t>Visual 3D的骨盆三轴：X轴=矢状面前倾/后倾，Y轴=</w:t>
      </w:r>
      <w:r>
        <w:rPr>
          <w:rFonts w:hint="eastAsia" w:ascii="Times New Roman" w:hAnsi="Times New Roman" w:eastAsia="宋体"/>
          <w:color w:val="auto"/>
          <w:kern w:val="0"/>
          <w:sz w:val="21"/>
          <w:szCs w:val="24"/>
        </w:rPr>
        <w:t>冠状</w:t>
      </w:r>
      <w:r>
        <w:rPr>
          <w:rFonts w:ascii="Times New Roman" w:hAnsi="Times New Roman" w:eastAsia="宋体"/>
          <w:color w:val="auto"/>
          <w:kern w:val="0"/>
          <w:sz w:val="21"/>
          <w:szCs w:val="24"/>
        </w:rPr>
        <w:t>面向上侧倾/向下侧倾，Z轴=</w:t>
      </w:r>
      <w:r>
        <w:rPr>
          <w:rFonts w:hint="eastAsia" w:ascii="Times New Roman" w:hAnsi="Times New Roman" w:eastAsia="宋体"/>
          <w:color w:val="auto"/>
          <w:kern w:val="0"/>
          <w:sz w:val="21"/>
          <w:szCs w:val="24"/>
        </w:rPr>
        <w:t>水平面</w:t>
      </w:r>
      <w:r>
        <w:rPr>
          <w:rFonts w:ascii="Times New Roman" w:hAnsi="Times New Roman" w:eastAsia="宋体"/>
          <w:color w:val="auto"/>
          <w:kern w:val="0"/>
          <w:sz w:val="21"/>
          <w:szCs w:val="24"/>
        </w:rPr>
        <w:t>旋内/旋外。</w:t>
      </w:r>
    </w:p>
    <w:p w14:paraId="1F86438D">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olor w:val="auto"/>
          <w:kern w:val="0"/>
          <w:sz w:val="21"/>
          <w:szCs w:val="24"/>
          <w:lang w:eastAsia="zh-CN"/>
        </w:rPr>
      </w:pPr>
      <w:r>
        <w:rPr>
          <w:rFonts w:ascii="Times New Roman" w:hAnsi="Times New Roman" w:eastAsia="宋体"/>
          <w:color w:val="auto"/>
          <w:kern w:val="0"/>
          <w:sz w:val="21"/>
          <w:szCs w:val="24"/>
        </w:rPr>
        <w:t>入组患者被要求以舒适、自然的速度行走。测试任务为连续步行最长距离，</w:t>
      </w:r>
      <w:r>
        <w:rPr>
          <w:rFonts w:hint="eastAsia" w:ascii="Times New Roman" w:hAnsi="Times New Roman" w:eastAsia="宋体"/>
          <w:color w:val="auto"/>
          <w:kern w:val="0"/>
          <w:sz w:val="21"/>
          <w:szCs w:val="24"/>
          <w:lang w:val="en-US" w:eastAsia="zh-CN"/>
        </w:rPr>
        <w:t>步行路径为平地往返行走。</w:t>
      </w:r>
      <w:r>
        <w:rPr>
          <w:rFonts w:ascii="Times New Roman" w:hAnsi="Times New Roman" w:eastAsia="宋体"/>
          <w:color w:val="auto"/>
          <w:kern w:val="0"/>
          <w:sz w:val="21"/>
          <w:szCs w:val="24"/>
        </w:rPr>
        <w:t>当受试者表示出现腿部肌肉疲劳无法继续任务时，步行停止。</w:t>
      </w:r>
    </w:p>
    <w:p w14:paraId="09394D3C">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（二）</w:t>
      </w:r>
      <w:r>
        <w:rPr>
          <w:rFonts w:hint="eastAsia" w:ascii="Times New Roman" w:hAnsi="Times New Roman" w:eastAsia="宋体"/>
          <w:color w:val="auto"/>
          <w:kern w:val="0"/>
          <w:sz w:val="21"/>
          <w:szCs w:val="24"/>
          <w:lang w:eastAsia="zh-CN"/>
        </w:rPr>
        <w:t>试验</w:t>
      </w:r>
      <w:r>
        <w:rPr>
          <w:rFonts w:ascii="Times New Roman" w:hAnsi="Times New Roman" w:eastAsia="宋体"/>
          <w:color w:val="auto"/>
          <w:kern w:val="0"/>
          <w:sz w:val="21"/>
          <w:szCs w:val="24"/>
        </w:rPr>
        <w:t>方法</w:t>
      </w:r>
    </w:p>
    <w:p w14:paraId="7654BBE1">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对入组患者的连续步行数据进行分期，</w:t>
      </w:r>
      <w:r>
        <w:rPr>
          <w:rFonts w:hint="eastAsia" w:ascii="Times New Roman" w:hAnsi="Times New Roman" w:eastAsia="宋体"/>
          <w:color w:val="auto"/>
          <w:kern w:val="0"/>
          <w:sz w:val="21"/>
          <w:szCs w:val="24"/>
        </w:rPr>
        <w:t>分为步行初期、步行中期和步行末期。</w:t>
      </w:r>
      <w:r>
        <w:rPr>
          <w:rFonts w:ascii="Times New Roman" w:hAnsi="Times New Roman" w:eastAsia="宋体"/>
          <w:color w:val="auto"/>
          <w:kern w:val="0"/>
          <w:sz w:val="21"/>
          <w:szCs w:val="24"/>
        </w:rPr>
        <w:t>弃去前3个步行周期的数据</w:t>
      </w:r>
      <w:r>
        <w:rPr>
          <w:rFonts w:hint="eastAsia" w:ascii="Times New Roman" w:hAnsi="Times New Roman" w:eastAsia="宋体"/>
          <w:color w:val="auto"/>
          <w:kern w:val="0"/>
          <w:sz w:val="21"/>
          <w:szCs w:val="24"/>
        </w:rPr>
        <w:t>，步行初期的数据取第4</w:t>
      </w:r>
      <w:r>
        <w:rPr>
          <w:rFonts w:hint="eastAsia" w:ascii="Times New Roman" w:hAnsi="Times New Roman" w:eastAsia="宋体" w:cs="楷体"/>
          <w:color w:val="auto"/>
          <w:kern w:val="0"/>
          <w:sz w:val="21"/>
          <w:szCs w:val="24"/>
          <w:lang w:eastAsia="zh-CN"/>
        </w:rPr>
        <w:t>~</w:t>
      </w:r>
      <w:r>
        <w:rPr>
          <w:rFonts w:hint="eastAsia" w:ascii="Times New Roman" w:hAnsi="Times New Roman" w:eastAsia="宋体"/>
          <w:color w:val="auto"/>
          <w:kern w:val="0"/>
          <w:sz w:val="21"/>
          <w:szCs w:val="24"/>
        </w:rPr>
        <w:t>6个</w:t>
      </w:r>
      <w:r>
        <w:rPr>
          <w:rFonts w:ascii="Times New Roman" w:hAnsi="Times New Roman" w:eastAsia="宋体"/>
          <w:color w:val="auto"/>
          <w:kern w:val="0"/>
          <w:sz w:val="21"/>
          <w:szCs w:val="24"/>
        </w:rPr>
        <w:t>步行周期的</w:t>
      </w:r>
      <w:r>
        <w:rPr>
          <w:rFonts w:hint="eastAsia" w:ascii="Times New Roman" w:hAnsi="Times New Roman" w:eastAsia="宋体"/>
          <w:color w:val="auto"/>
          <w:kern w:val="0"/>
          <w:sz w:val="21"/>
          <w:szCs w:val="24"/>
        </w:rPr>
        <w:t>平均</w:t>
      </w:r>
      <w:r>
        <w:rPr>
          <w:rFonts w:ascii="Times New Roman" w:hAnsi="Times New Roman" w:eastAsia="宋体"/>
          <w:color w:val="auto"/>
          <w:kern w:val="0"/>
          <w:sz w:val="21"/>
          <w:szCs w:val="24"/>
        </w:rPr>
        <w:t>骨盆角度1（angle</w:t>
      </w:r>
      <w:r>
        <w:rPr>
          <w:rFonts w:hint="eastAsia" w:ascii="Times New Roman" w:hAnsi="Times New Roman" w:eastAsia="宋体"/>
          <w:color w:val="auto"/>
          <w:kern w:val="0"/>
          <w:sz w:val="21"/>
          <w:szCs w:val="24"/>
          <w:lang w:val="en-US" w:eastAsia="zh-CN"/>
        </w:rPr>
        <w:t xml:space="preserve"> </w:t>
      </w:r>
      <w:r>
        <w:rPr>
          <w:rFonts w:ascii="Times New Roman" w:hAnsi="Times New Roman" w:eastAsia="宋体"/>
          <w:color w:val="auto"/>
          <w:kern w:val="0"/>
          <w:sz w:val="21"/>
          <w:szCs w:val="24"/>
        </w:rPr>
        <w:t>1，A</w:t>
      </w:r>
      <w:r>
        <w:rPr>
          <w:rFonts w:ascii="Times New Roman" w:hAnsi="Times New Roman" w:eastAsia="宋体"/>
          <w:color w:val="auto"/>
          <w:kern w:val="0"/>
          <w:sz w:val="21"/>
          <w:szCs w:val="24"/>
          <w:vertAlign w:val="subscript"/>
        </w:rPr>
        <w:t>1</w:t>
      </w:r>
      <w:r>
        <w:rPr>
          <w:rFonts w:ascii="Times New Roman" w:hAnsi="Times New Roman" w:eastAsia="宋体"/>
          <w:color w:val="auto"/>
          <w:kern w:val="0"/>
          <w:sz w:val="21"/>
          <w:szCs w:val="24"/>
        </w:rPr>
        <w:t>），步行末期的数据取步行任务停止前的3个步行周期的平均角度A</w:t>
      </w:r>
      <w:r>
        <w:rPr>
          <w:rFonts w:ascii="Times New Roman" w:hAnsi="Times New Roman" w:eastAsia="宋体"/>
          <w:color w:val="auto"/>
          <w:kern w:val="0"/>
          <w:sz w:val="21"/>
          <w:szCs w:val="24"/>
          <w:vertAlign w:val="subscript"/>
        </w:rPr>
        <w:t>3</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步行中期A</w:t>
      </w:r>
      <w:r>
        <w:rPr>
          <w:rFonts w:hint="eastAsia" w:ascii="Times New Roman" w:hAnsi="Times New Roman" w:eastAsia="宋体"/>
          <w:color w:val="auto"/>
          <w:kern w:val="0"/>
          <w:sz w:val="21"/>
          <w:szCs w:val="24"/>
          <w:vertAlign w:val="subscript"/>
        </w:rPr>
        <w:t>2</w:t>
      </w:r>
      <w:r>
        <w:rPr>
          <w:rFonts w:hint="eastAsia" w:ascii="Times New Roman" w:hAnsi="Times New Roman" w:eastAsia="宋体"/>
          <w:color w:val="auto"/>
          <w:kern w:val="0"/>
          <w:sz w:val="21"/>
          <w:szCs w:val="24"/>
        </w:rPr>
        <w:t>为</w:t>
      </w:r>
      <w:r>
        <w:rPr>
          <w:rFonts w:ascii="Times New Roman" w:hAnsi="Times New Roman" w:eastAsia="宋体"/>
          <w:color w:val="auto"/>
          <w:kern w:val="0"/>
          <w:sz w:val="21"/>
          <w:szCs w:val="24"/>
        </w:rPr>
        <w:t>A</w:t>
      </w:r>
      <w:r>
        <w:rPr>
          <w:rFonts w:ascii="Times New Roman" w:hAnsi="Times New Roman" w:eastAsia="宋体"/>
          <w:color w:val="auto"/>
          <w:kern w:val="0"/>
          <w:sz w:val="21"/>
          <w:szCs w:val="24"/>
          <w:vertAlign w:val="subscript"/>
        </w:rPr>
        <w:t>1</w:t>
      </w:r>
      <w:r>
        <w:rPr>
          <w:rFonts w:hint="eastAsia" w:ascii="Times New Roman" w:hAnsi="Times New Roman" w:eastAsia="宋体"/>
          <w:color w:val="auto"/>
          <w:kern w:val="0"/>
          <w:sz w:val="21"/>
          <w:szCs w:val="24"/>
        </w:rPr>
        <w:t>和</w:t>
      </w:r>
      <w:r>
        <w:rPr>
          <w:rFonts w:ascii="Times New Roman" w:hAnsi="Times New Roman" w:eastAsia="宋体"/>
          <w:color w:val="auto"/>
          <w:kern w:val="0"/>
          <w:sz w:val="21"/>
          <w:szCs w:val="24"/>
        </w:rPr>
        <w:t>A</w:t>
      </w:r>
      <w:r>
        <w:rPr>
          <w:rFonts w:ascii="Times New Roman" w:hAnsi="Times New Roman" w:eastAsia="宋体"/>
          <w:color w:val="auto"/>
          <w:kern w:val="0"/>
          <w:sz w:val="21"/>
          <w:szCs w:val="24"/>
          <w:vertAlign w:val="subscript"/>
        </w:rPr>
        <w:t>3</w:t>
      </w:r>
      <w:r>
        <w:rPr>
          <w:rFonts w:hint="eastAsia" w:ascii="Times New Roman" w:hAnsi="Times New Roman" w:eastAsia="宋体"/>
          <w:color w:val="auto"/>
          <w:kern w:val="0"/>
          <w:sz w:val="21"/>
          <w:szCs w:val="24"/>
        </w:rPr>
        <w:t>步行周期中间的连续3个骨盆角度的均值，</w:t>
      </w:r>
      <w:r>
        <w:rPr>
          <w:rFonts w:ascii="Times New Roman" w:hAnsi="Times New Roman" w:eastAsia="宋体"/>
          <w:color w:val="auto"/>
          <w:kern w:val="0"/>
          <w:sz w:val="21"/>
          <w:szCs w:val="24"/>
        </w:rPr>
        <w:t>将上述三期内的关节角度进行平均，分别得出偏瘫侧和非偏瘫侧角度。</w:t>
      </w:r>
    </w:p>
    <w:p w14:paraId="2D6E995B">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default"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lang w:val="en-US" w:eastAsia="zh-CN"/>
        </w:rPr>
        <w:t>三、观察指标</w:t>
      </w:r>
    </w:p>
    <w:p w14:paraId="2BB892B6">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一</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骨盆三轴偏瘫侧和非偏瘫侧</w:t>
      </w:r>
      <w:r>
        <w:rPr>
          <w:rFonts w:hint="eastAsia" w:ascii="Times New Roman" w:hAnsi="Times New Roman" w:eastAsia="宋体"/>
          <w:color w:val="auto"/>
          <w:kern w:val="0"/>
          <w:sz w:val="21"/>
          <w:szCs w:val="24"/>
          <w:lang w:val="en-US" w:eastAsia="zh-CN"/>
        </w:rPr>
        <w:t>之间活动角度的</w:t>
      </w:r>
      <w:r>
        <w:rPr>
          <w:rFonts w:ascii="Times New Roman" w:hAnsi="Times New Roman" w:eastAsia="宋体"/>
          <w:color w:val="auto"/>
          <w:kern w:val="0"/>
          <w:sz w:val="21"/>
          <w:szCs w:val="24"/>
        </w:rPr>
        <w:t>比较</w:t>
      </w:r>
    </w:p>
    <w:p w14:paraId="62E12037">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1. 在</w:t>
      </w:r>
      <w:r>
        <w:rPr>
          <w:rFonts w:ascii="Times New Roman" w:hAnsi="Times New Roman" w:eastAsia="宋体"/>
          <w:color w:val="auto"/>
          <w:kern w:val="0"/>
          <w:sz w:val="21"/>
          <w:szCs w:val="24"/>
        </w:rPr>
        <w:t>骨盆X轴取最大前倾角度（</w:t>
      </w:r>
      <w:r>
        <w:rPr>
          <w:rFonts w:hint="eastAsia" w:ascii="Times New Roman" w:hAnsi="Times New Roman" w:eastAsia="宋体"/>
          <w:color w:val="auto"/>
          <w:kern w:val="0"/>
          <w:sz w:val="21"/>
          <w:szCs w:val="24"/>
          <w:lang w:val="en-US" w:eastAsia="zh-CN"/>
        </w:rPr>
        <w:t xml:space="preserve">the maximum of </w:t>
      </w:r>
      <w:r>
        <w:rPr>
          <w:rFonts w:ascii="Times New Roman" w:hAnsi="Times New Roman" w:eastAsia="宋体"/>
          <w:color w:val="auto"/>
          <w:kern w:val="0"/>
          <w:sz w:val="21"/>
          <w:szCs w:val="24"/>
        </w:rPr>
        <w:t>pelvic tilt angle</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Y轴取最大向上侧倾角度（</w:t>
      </w:r>
      <w:r>
        <w:rPr>
          <w:rFonts w:hint="eastAsia" w:ascii="Times New Roman" w:hAnsi="Times New Roman" w:eastAsia="宋体"/>
          <w:color w:val="auto"/>
          <w:kern w:val="0"/>
          <w:sz w:val="21"/>
          <w:szCs w:val="24"/>
          <w:lang w:val="en-US" w:eastAsia="zh-CN"/>
        </w:rPr>
        <w:t xml:space="preserve">the maximum of </w:t>
      </w:r>
      <w:r>
        <w:rPr>
          <w:rFonts w:ascii="Times New Roman" w:hAnsi="Times New Roman" w:eastAsia="宋体"/>
          <w:color w:val="auto"/>
          <w:kern w:val="0"/>
          <w:sz w:val="21"/>
          <w:szCs w:val="24"/>
        </w:rPr>
        <w:t>pelvic obliquity angle</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POA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Z轴取最大旋内角度（</w:t>
      </w:r>
      <w:r>
        <w:rPr>
          <w:rFonts w:hint="eastAsia" w:ascii="Times New Roman" w:hAnsi="Times New Roman" w:eastAsia="宋体"/>
          <w:color w:val="auto"/>
          <w:kern w:val="0"/>
          <w:sz w:val="21"/>
          <w:szCs w:val="24"/>
          <w:lang w:val="en-US" w:eastAsia="zh-CN"/>
        </w:rPr>
        <w:t xml:space="preserve">the maximum of </w:t>
      </w:r>
      <w:r>
        <w:rPr>
          <w:rFonts w:ascii="Times New Roman" w:hAnsi="Times New Roman" w:eastAsia="宋体"/>
          <w:color w:val="auto"/>
          <w:kern w:val="0"/>
          <w:sz w:val="21"/>
          <w:szCs w:val="24"/>
        </w:rPr>
        <w:t>pelvic rotation angle</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），比较</w:t>
      </w:r>
      <w:r>
        <w:rPr>
          <w:rFonts w:hint="eastAsia" w:ascii="Times New Roman" w:hAnsi="Times New Roman" w:eastAsia="宋体"/>
          <w:color w:val="auto"/>
          <w:kern w:val="0"/>
          <w:sz w:val="21"/>
          <w:szCs w:val="24"/>
          <w:lang w:val="en-US" w:eastAsia="zh-CN"/>
        </w:rPr>
        <w:t>整个步行期间上述角度（A1、A2、A3）在</w:t>
      </w:r>
      <w:r>
        <w:rPr>
          <w:rFonts w:ascii="Times New Roman" w:hAnsi="Times New Roman" w:eastAsia="宋体"/>
          <w:color w:val="auto"/>
          <w:kern w:val="0"/>
          <w:sz w:val="21"/>
          <w:szCs w:val="24"/>
        </w:rPr>
        <w:t>偏瘫侧和非偏瘫侧</w:t>
      </w:r>
      <w:r>
        <w:rPr>
          <w:rFonts w:hint="eastAsia" w:ascii="Times New Roman" w:hAnsi="Times New Roman" w:eastAsia="宋体"/>
          <w:color w:val="auto"/>
          <w:kern w:val="0"/>
          <w:sz w:val="21"/>
          <w:szCs w:val="24"/>
          <w:lang w:val="en-US" w:eastAsia="zh-CN"/>
        </w:rPr>
        <w:t>患者</w:t>
      </w:r>
      <w:r>
        <w:rPr>
          <w:rFonts w:ascii="Times New Roman" w:hAnsi="Times New Roman" w:eastAsia="宋体"/>
          <w:color w:val="auto"/>
          <w:kern w:val="0"/>
          <w:sz w:val="21"/>
          <w:szCs w:val="24"/>
        </w:rPr>
        <w:t>之间的差异。</w:t>
      </w:r>
    </w:p>
    <w:p w14:paraId="719DBE7C">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2. 在</w:t>
      </w:r>
      <w:r>
        <w:rPr>
          <w:rFonts w:ascii="Times New Roman" w:hAnsi="Times New Roman" w:eastAsia="宋体"/>
          <w:color w:val="auto"/>
          <w:kern w:val="0"/>
          <w:sz w:val="21"/>
          <w:szCs w:val="24"/>
        </w:rPr>
        <w:t>骨盆X轴取前后倾斜运动范围（range of motion</w:t>
      </w:r>
      <w:r>
        <w:rPr>
          <w:rFonts w:hint="eastAsia" w:ascii="Times New Roman" w:hAnsi="Times New Roman" w:eastAsia="宋体"/>
          <w:color w:val="auto"/>
          <w:kern w:val="0"/>
          <w:sz w:val="21"/>
          <w:szCs w:val="24"/>
          <w:lang w:val="en-US" w:eastAsia="zh-CN"/>
        </w:rPr>
        <w:t xml:space="preserve"> of </w:t>
      </w:r>
      <w:r>
        <w:rPr>
          <w:rFonts w:ascii="Times New Roman" w:hAnsi="Times New Roman" w:eastAsia="宋体"/>
          <w:color w:val="auto"/>
          <w:kern w:val="0"/>
          <w:sz w:val="21"/>
          <w:szCs w:val="24"/>
        </w:rPr>
        <w:t>pelvic tilt angle</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Y轴取上下侧倾POA</w:t>
      </w:r>
      <w:r>
        <w:rPr>
          <w:rFonts w:ascii="Times New Roman" w:hAnsi="Times New Roman" w:eastAsia="宋体"/>
          <w:color w:val="auto"/>
          <w:kern w:val="0"/>
          <w:sz w:val="21"/>
          <w:szCs w:val="24"/>
          <w:vertAlign w:val="subscript"/>
        </w:rPr>
        <w:t>ROM</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Z轴取旋转PRA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，比较</w:t>
      </w:r>
      <w:r>
        <w:rPr>
          <w:rFonts w:hint="eastAsia" w:ascii="Times New Roman" w:hAnsi="Times New Roman" w:eastAsia="宋体"/>
          <w:color w:val="auto"/>
          <w:kern w:val="0"/>
          <w:sz w:val="21"/>
          <w:szCs w:val="24"/>
          <w:lang w:val="en-US" w:eastAsia="zh-CN"/>
        </w:rPr>
        <w:t>上述范围在</w:t>
      </w:r>
      <w:r>
        <w:rPr>
          <w:rFonts w:ascii="Times New Roman" w:hAnsi="Times New Roman" w:eastAsia="宋体"/>
          <w:color w:val="auto"/>
          <w:kern w:val="0"/>
          <w:sz w:val="21"/>
          <w:szCs w:val="24"/>
        </w:rPr>
        <w:t>偏瘫侧和非偏瘫侧</w:t>
      </w:r>
      <w:r>
        <w:rPr>
          <w:rFonts w:hint="eastAsia" w:ascii="Times New Roman" w:hAnsi="Times New Roman" w:eastAsia="宋体"/>
          <w:color w:val="auto"/>
          <w:kern w:val="0"/>
          <w:sz w:val="21"/>
          <w:szCs w:val="24"/>
          <w:lang w:val="en-US" w:eastAsia="zh-CN"/>
        </w:rPr>
        <w:t>患者</w:t>
      </w:r>
      <w:r>
        <w:rPr>
          <w:rFonts w:ascii="Times New Roman" w:hAnsi="Times New Roman" w:eastAsia="宋体"/>
          <w:color w:val="auto"/>
          <w:kern w:val="0"/>
          <w:sz w:val="21"/>
          <w:szCs w:val="24"/>
        </w:rPr>
        <w:t>之间的差异。</w:t>
      </w:r>
    </w:p>
    <w:p w14:paraId="4BA19973">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 xml:space="preserve">3. </w:t>
      </w:r>
      <w:r>
        <w:rPr>
          <w:rFonts w:ascii="Times New Roman" w:hAnsi="Times New Roman" w:eastAsia="宋体"/>
          <w:color w:val="auto"/>
          <w:kern w:val="0"/>
          <w:sz w:val="21"/>
          <w:szCs w:val="24"/>
        </w:rPr>
        <w:t>取步行末期PTA</w:t>
      </w:r>
      <w:r>
        <w:rPr>
          <w:rFonts w:ascii="Times New Roman" w:hAnsi="Times New Roman" w:eastAsia="宋体"/>
          <w:color w:val="auto"/>
          <w:kern w:val="0"/>
          <w:sz w:val="21"/>
          <w:szCs w:val="24"/>
          <w:vertAlign w:val="subscript"/>
        </w:rPr>
        <w:t>ROM3</w:t>
      </w:r>
      <w:r>
        <w:rPr>
          <w:rFonts w:ascii="Times New Roman" w:hAnsi="Times New Roman" w:eastAsia="宋体"/>
          <w:color w:val="auto"/>
          <w:kern w:val="0"/>
          <w:sz w:val="21"/>
          <w:szCs w:val="24"/>
        </w:rPr>
        <w:t>与步行初期PTA</w:t>
      </w:r>
      <w:r>
        <w:rPr>
          <w:rFonts w:ascii="Times New Roman" w:hAnsi="Times New Roman" w:eastAsia="宋体"/>
          <w:color w:val="auto"/>
          <w:kern w:val="0"/>
          <w:sz w:val="21"/>
          <w:szCs w:val="24"/>
          <w:vertAlign w:val="subscript"/>
        </w:rPr>
        <w:t>ROM1</w:t>
      </w:r>
      <w:r>
        <w:rPr>
          <w:rFonts w:ascii="Times New Roman" w:hAnsi="Times New Roman" w:eastAsia="宋体"/>
          <w:color w:val="auto"/>
          <w:kern w:val="0"/>
          <w:sz w:val="21"/>
          <w:szCs w:val="24"/>
        </w:rPr>
        <w:t>的差值PTA</w:t>
      </w:r>
      <w:r>
        <w:rPr>
          <w:rFonts w:ascii="Times New Roman" w:hAnsi="Times New Roman" w:eastAsia="宋体"/>
          <w:color w:val="auto"/>
          <w:kern w:val="0"/>
          <w:sz w:val="21"/>
          <w:szCs w:val="24"/>
          <w:vertAlign w:val="subscript"/>
        </w:rPr>
        <w:t>ROM3-1</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以及POA</w:t>
      </w:r>
      <w:r>
        <w:rPr>
          <w:rFonts w:ascii="Times New Roman" w:hAnsi="Times New Roman" w:eastAsia="宋体"/>
          <w:color w:val="auto"/>
          <w:kern w:val="0"/>
          <w:sz w:val="21"/>
          <w:szCs w:val="24"/>
          <w:vertAlign w:val="subscript"/>
        </w:rPr>
        <w:t>ROM3-1</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ROM3-1</w:t>
      </w:r>
      <w:r>
        <w:rPr>
          <w:rFonts w:ascii="Times New Roman" w:hAnsi="Times New Roman" w:eastAsia="宋体"/>
          <w:color w:val="auto"/>
          <w:kern w:val="0"/>
          <w:sz w:val="21"/>
          <w:szCs w:val="24"/>
        </w:rPr>
        <w:t>，比较三轴各差值在偏瘫侧和非偏瘫侧</w:t>
      </w:r>
      <w:r>
        <w:rPr>
          <w:rFonts w:hint="eastAsia" w:ascii="Times New Roman" w:hAnsi="Times New Roman" w:eastAsia="宋体"/>
          <w:color w:val="auto"/>
          <w:kern w:val="0"/>
          <w:sz w:val="21"/>
          <w:szCs w:val="24"/>
          <w:lang w:val="en-US" w:eastAsia="zh-CN"/>
        </w:rPr>
        <w:t>患者</w:t>
      </w:r>
      <w:r>
        <w:rPr>
          <w:rFonts w:ascii="Times New Roman" w:hAnsi="Times New Roman" w:eastAsia="宋体"/>
          <w:color w:val="auto"/>
          <w:kern w:val="0"/>
          <w:sz w:val="21"/>
          <w:szCs w:val="24"/>
        </w:rPr>
        <w:t>之间的差异。</w:t>
      </w:r>
    </w:p>
    <w:p w14:paraId="1188BB1B">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leftChars="0"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二</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骨盆三轴关节角度在不同步行时期之间的比较</w:t>
      </w:r>
    </w:p>
    <w:p w14:paraId="457EA49E">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eastAsia="zh-CN"/>
        </w:rPr>
        <w:t>在</w:t>
      </w:r>
      <w:r>
        <w:rPr>
          <w:rFonts w:ascii="Times New Roman" w:hAnsi="Times New Roman" w:eastAsia="宋体"/>
          <w:color w:val="auto"/>
          <w:kern w:val="0"/>
          <w:sz w:val="21"/>
          <w:szCs w:val="24"/>
        </w:rPr>
        <w:t>连续步行中，分析骨盆三轴关节角度偏瘫侧和非偏瘫侧各自在不同步行时期之间的渐进性变化，例如，分析偏瘫侧骨盆前倾PTA</w:t>
      </w:r>
      <w:r>
        <w:rPr>
          <w:rFonts w:ascii="Times New Roman" w:hAnsi="Times New Roman" w:eastAsia="宋体"/>
          <w:color w:val="auto"/>
          <w:kern w:val="0"/>
          <w:sz w:val="21"/>
          <w:szCs w:val="24"/>
          <w:vertAlign w:val="subscript"/>
        </w:rPr>
        <w:t>max1</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max2</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之间的变化趋势。</w:t>
      </w:r>
    </w:p>
    <w:p w14:paraId="267E28E0">
      <w:pPr>
        <w:keepNext w:val="0"/>
        <w:keepLines w:val="0"/>
        <w:pageBreakBefore w:val="0"/>
        <w:numPr>
          <w:ilvl w:val="0"/>
          <w:numId w:val="0"/>
        </w:numPr>
        <w:kinsoku/>
        <w:wordWrap/>
        <w:overflowPunct/>
        <w:topLinePunct w:val="0"/>
        <w:autoSpaceDE/>
        <w:autoSpaceDN/>
        <w:bidi w:val="0"/>
        <w:adjustRightInd/>
        <w:snapToGrid/>
        <w:spacing w:beforeAutospacing="0" w:afterAutospacing="0" w:line="360" w:lineRule="auto"/>
        <w:ind w:leftChars="0"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三</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rPr>
        <w:t>不同步行能力</w:t>
      </w:r>
      <w:r>
        <w:rPr>
          <w:rFonts w:ascii="Times New Roman" w:hAnsi="Times New Roman" w:eastAsia="宋体"/>
          <w:color w:val="auto"/>
          <w:kern w:val="0"/>
          <w:sz w:val="21"/>
          <w:szCs w:val="24"/>
        </w:rPr>
        <w:t>骨盆三轴关节角度在不同步行时期之间的比较</w:t>
      </w:r>
    </w:p>
    <w:p w14:paraId="50F2ED4B">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highlight w:val="none"/>
        </w:rPr>
        <w:t>根据</w:t>
      </w:r>
      <w:r>
        <w:rPr>
          <w:rFonts w:hint="eastAsia" w:ascii="Times New Roman" w:hAnsi="Times New Roman" w:eastAsia="宋体"/>
          <w:color w:val="auto"/>
          <w:kern w:val="0"/>
          <w:sz w:val="21"/>
          <w:szCs w:val="24"/>
          <w:highlight w:val="none"/>
          <w:lang w:val="en-US" w:eastAsia="zh-CN"/>
        </w:rPr>
        <w:t>最大</w:t>
      </w:r>
      <w:r>
        <w:rPr>
          <w:rFonts w:ascii="Times New Roman" w:hAnsi="Times New Roman" w:eastAsia="宋体"/>
          <w:color w:val="auto"/>
          <w:kern w:val="0"/>
          <w:sz w:val="21"/>
          <w:szCs w:val="24"/>
          <w:highlight w:val="none"/>
        </w:rPr>
        <w:t>步行距离将入组患者分为</w:t>
      </w:r>
      <w:r>
        <w:rPr>
          <w:rFonts w:hint="eastAsia" w:ascii="Times New Roman" w:hAnsi="Times New Roman" w:eastAsia="宋体"/>
          <w:color w:val="auto"/>
          <w:kern w:val="0"/>
          <w:sz w:val="21"/>
          <w:szCs w:val="24"/>
          <w:highlight w:val="none"/>
          <w:lang w:eastAsia="zh-CN"/>
        </w:rPr>
        <w:t>2组</w:t>
      </w:r>
      <w:r>
        <w:rPr>
          <w:rFonts w:ascii="Times New Roman" w:hAnsi="Times New Roman" w:eastAsia="宋体"/>
          <w:color w:val="auto"/>
          <w:kern w:val="0"/>
          <w:sz w:val="21"/>
          <w:szCs w:val="24"/>
          <w:highlight w:val="none"/>
        </w:rPr>
        <w:t>，步行距离在50</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200</w:t>
      </w:r>
      <w:r>
        <w:rPr>
          <w:rFonts w:hint="eastAsia" w:ascii="Times New Roman" w:hAnsi="Times New Roman" w:eastAsia="宋体"/>
          <w:color w:val="auto"/>
          <w:kern w:val="0"/>
          <w:sz w:val="21"/>
          <w:szCs w:val="24"/>
          <w:highlight w:val="none"/>
          <w:lang w:val="en-US" w:eastAsia="zh-CN"/>
        </w:rPr>
        <w:t xml:space="preserve"> m者</w:t>
      </w:r>
      <w:r>
        <w:rPr>
          <w:rFonts w:ascii="Times New Roman" w:hAnsi="Times New Roman" w:eastAsia="宋体"/>
          <w:color w:val="auto"/>
          <w:kern w:val="0"/>
          <w:sz w:val="21"/>
          <w:szCs w:val="24"/>
          <w:highlight w:val="none"/>
        </w:rPr>
        <w:t>为室内步行组</w:t>
      </w:r>
      <w:r>
        <w:rPr>
          <w:rFonts w:hint="eastAsia" w:ascii="Times New Roman" w:hAnsi="Times New Roman" w:eastAsia="宋体"/>
          <w:color w:val="auto"/>
          <w:kern w:val="0"/>
          <w:sz w:val="21"/>
          <w:szCs w:val="24"/>
          <w:highlight w:val="none"/>
          <w:lang w:eastAsia="zh-CN"/>
        </w:rPr>
        <w:t>，</w:t>
      </w:r>
      <w:r>
        <w:rPr>
          <w:rFonts w:hint="eastAsia" w:ascii="Times New Roman" w:hAnsi="Times New Roman" w:eastAsia="宋体"/>
          <w:color w:val="auto"/>
          <w:kern w:val="0"/>
          <w:sz w:val="21"/>
          <w:szCs w:val="24"/>
          <w:highlight w:val="none"/>
          <w:lang w:val="en-US" w:eastAsia="zh-CN"/>
        </w:rPr>
        <w:t>提示步行能力相对较差</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rPr>
        <w:t>步行距离</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200</w:t>
      </w:r>
      <w:r>
        <w:rPr>
          <w:rFonts w:hint="eastAsia" w:ascii="Times New Roman" w:hAnsi="Times New Roman" w:eastAsia="宋体"/>
          <w:color w:val="auto"/>
          <w:kern w:val="0"/>
          <w:sz w:val="21"/>
          <w:szCs w:val="24"/>
          <w:lang w:val="en-US" w:eastAsia="zh-CN"/>
        </w:rPr>
        <w:t xml:space="preserve"> m者</w:t>
      </w:r>
      <w:r>
        <w:rPr>
          <w:rFonts w:ascii="Times New Roman" w:hAnsi="Times New Roman" w:eastAsia="宋体"/>
          <w:color w:val="auto"/>
          <w:kern w:val="0"/>
          <w:sz w:val="21"/>
          <w:szCs w:val="24"/>
        </w:rPr>
        <w:t>为室外步行组</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提示步行能力相对较好</w:t>
      </w:r>
      <w:r>
        <w:rPr>
          <w:rFonts w:ascii="Times New Roman" w:hAnsi="Times New Roman" w:eastAsia="宋体"/>
          <w:color w:val="auto"/>
          <w:kern w:val="0"/>
          <w:sz w:val="21"/>
          <w:szCs w:val="24"/>
        </w:rPr>
        <w:t>。分析</w:t>
      </w:r>
      <w:r>
        <w:rPr>
          <w:rFonts w:hint="eastAsia" w:ascii="Times New Roman" w:hAnsi="Times New Roman" w:eastAsia="宋体"/>
          <w:color w:val="auto"/>
          <w:kern w:val="0"/>
          <w:sz w:val="21"/>
          <w:szCs w:val="24"/>
          <w:lang w:eastAsia="zh-CN"/>
        </w:rPr>
        <w:t>2组</w:t>
      </w:r>
      <w:r>
        <w:rPr>
          <w:rFonts w:ascii="Times New Roman" w:hAnsi="Times New Roman" w:eastAsia="宋体"/>
          <w:color w:val="auto"/>
          <w:kern w:val="0"/>
          <w:sz w:val="21"/>
          <w:szCs w:val="24"/>
        </w:rPr>
        <w:t>骨盆关节活动在不同步行时期之间渐进性变化趋势的差异。</w:t>
      </w:r>
    </w:p>
    <w:p w14:paraId="128640DF">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四</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统计学分析</w:t>
      </w:r>
    </w:p>
    <w:p w14:paraId="437370B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default" w:ascii="Times New Roman" w:hAnsi="Times New Roman" w:eastAsia="宋体" w:cs="Times New Roman"/>
          <w:color w:val="auto"/>
          <w:kern w:val="0"/>
          <w:sz w:val="21"/>
          <w:szCs w:val="24"/>
        </w:rPr>
      </w:pPr>
      <w:r>
        <w:rPr>
          <w:rFonts w:hint="default" w:ascii="Times New Roman" w:hAnsi="Times New Roman" w:eastAsia="宋体" w:cs="Times New Roman"/>
          <w:color w:val="auto"/>
          <w:kern w:val="0"/>
          <w:sz w:val="21"/>
          <w:szCs w:val="24"/>
        </w:rPr>
        <w:t>采用SPSS 2</w:t>
      </w:r>
      <w:r>
        <w:rPr>
          <w:rFonts w:hint="eastAsia" w:ascii="Times New Roman" w:hAnsi="Times New Roman" w:eastAsia="宋体" w:cs="Times New Roman"/>
          <w:color w:val="auto"/>
          <w:kern w:val="0"/>
          <w:sz w:val="21"/>
          <w:szCs w:val="24"/>
          <w:lang w:eastAsia="zh-CN"/>
        </w:rPr>
        <w:t>7.</w:t>
      </w:r>
      <w:r>
        <w:rPr>
          <w:rFonts w:hint="default" w:ascii="Times New Roman" w:hAnsi="Times New Roman" w:eastAsia="宋体" w:cs="Times New Roman"/>
          <w:color w:val="auto"/>
          <w:kern w:val="0"/>
          <w:sz w:val="21"/>
          <w:szCs w:val="24"/>
        </w:rPr>
        <w:t>0软件进行统计学分析。</w:t>
      </w:r>
      <w:r>
        <w:rPr>
          <w:rFonts w:hint="eastAsia" w:ascii="Times New Roman" w:hAnsi="Times New Roman" w:eastAsia="宋体" w:cs="Times New Roman"/>
          <w:color w:val="auto"/>
          <w:kern w:val="0"/>
          <w:sz w:val="21"/>
          <w:szCs w:val="24"/>
          <w:lang w:val="en-US" w:eastAsia="zh-CN"/>
        </w:rPr>
        <w:t>年龄、身高、体质量、病程、</w:t>
      </w:r>
      <w:r>
        <w:rPr>
          <w:rFonts w:hint="eastAsia" w:ascii="Times New Roman" w:hAnsi="Times New Roman" w:eastAsia="宋体" w:cs="宋体"/>
          <w:i w:val="0"/>
          <w:iCs w:val="0"/>
          <w:color w:val="auto"/>
          <w:kern w:val="0"/>
          <w:sz w:val="21"/>
          <w:szCs w:val="22"/>
          <w:u w:val="none"/>
          <w:lang w:val="en-US" w:eastAsia="zh-CN" w:bidi="ar"/>
        </w:rPr>
        <w:t>步速</w:t>
      </w:r>
      <w:r>
        <w:rPr>
          <w:rFonts w:hint="eastAsia" w:ascii="Times New Roman" w:hAnsi="Times New Roman" w:eastAsia="宋体" w:cs="Times New Roman"/>
          <w:color w:val="auto"/>
          <w:kern w:val="0"/>
          <w:sz w:val="21"/>
          <w:szCs w:val="24"/>
          <w:lang w:val="en-US" w:eastAsia="zh-CN"/>
        </w:rPr>
        <w:t>等</w:t>
      </w:r>
      <w:r>
        <w:rPr>
          <w:rFonts w:hint="default" w:ascii="Times New Roman" w:hAnsi="Times New Roman" w:eastAsia="宋体" w:cs="Times New Roman"/>
          <w:color w:val="auto"/>
          <w:kern w:val="0"/>
          <w:sz w:val="21"/>
          <w:szCs w:val="24"/>
        </w:rPr>
        <w:t>符合正态分布</w:t>
      </w:r>
      <w:r>
        <w:rPr>
          <w:rFonts w:hint="eastAsia" w:ascii="Times New Roman" w:hAnsi="Times New Roman" w:eastAsia="宋体" w:cs="Times New Roman"/>
          <w:color w:val="auto"/>
          <w:kern w:val="0"/>
          <w:sz w:val="21"/>
          <w:szCs w:val="24"/>
          <w:lang w:eastAsia="zh-CN"/>
        </w:rPr>
        <w:t>的</w:t>
      </w:r>
      <w:r>
        <w:rPr>
          <w:rFonts w:hint="default" w:ascii="Times New Roman" w:hAnsi="Times New Roman" w:eastAsia="宋体" w:cs="Times New Roman"/>
          <w:color w:val="auto"/>
          <w:kern w:val="0"/>
          <w:sz w:val="21"/>
          <w:szCs w:val="24"/>
          <w:highlight w:val="none"/>
        </w:rPr>
        <w:t>计量资料</w:t>
      </w:r>
      <w:r>
        <w:rPr>
          <w:rFonts w:hint="default" w:ascii="Times New Roman" w:hAnsi="Times New Roman" w:eastAsia="宋体" w:cs="Times New Roman"/>
          <w:color w:val="auto"/>
          <w:kern w:val="0"/>
          <w:sz w:val="21"/>
          <w:szCs w:val="24"/>
        </w:rPr>
        <w:t>，</w:t>
      </w:r>
      <w:r>
        <w:rPr>
          <w:rFonts w:hint="eastAsia" w:ascii="Times New Roman" w:hAnsi="Times New Roman" w:eastAsia="宋体" w:cs="Times New Roman"/>
          <w:color w:val="auto"/>
          <w:kern w:val="0"/>
          <w:sz w:val="21"/>
          <w:szCs w:val="24"/>
          <w:lang w:eastAsia="zh-CN"/>
        </w:rPr>
        <w:t>组间比较</w:t>
      </w:r>
      <w:r>
        <w:rPr>
          <w:rFonts w:hint="default" w:ascii="Times New Roman" w:hAnsi="Times New Roman" w:eastAsia="宋体" w:cs="Times New Roman"/>
          <w:color w:val="auto"/>
          <w:kern w:val="0"/>
          <w:sz w:val="21"/>
          <w:szCs w:val="24"/>
        </w:rPr>
        <w:t>采用独立</w:t>
      </w:r>
      <w:r>
        <w:rPr>
          <w:rFonts w:hint="eastAsia" w:ascii="Times New Roman" w:hAnsi="Times New Roman" w:eastAsia="宋体" w:cs="Times New Roman"/>
          <w:color w:val="auto"/>
          <w:kern w:val="0"/>
          <w:sz w:val="21"/>
          <w:szCs w:val="24"/>
          <w:lang w:eastAsia="zh-CN"/>
        </w:rPr>
        <w:t>样本</w:t>
      </w:r>
      <w:r>
        <w:rPr>
          <w:rFonts w:hint="default" w:ascii="Times New Roman" w:hAnsi="Times New Roman" w:eastAsia="宋体" w:cs="Times New Roman"/>
          <w:i/>
          <w:iCs/>
          <w:color w:val="auto"/>
          <w:kern w:val="0"/>
          <w:sz w:val="21"/>
          <w:szCs w:val="24"/>
        </w:rPr>
        <w:t>t</w:t>
      </w:r>
      <w:r>
        <w:rPr>
          <w:rFonts w:hint="default" w:ascii="Times New Roman" w:hAnsi="Times New Roman" w:eastAsia="宋体" w:cs="Times New Roman"/>
          <w:color w:val="auto"/>
          <w:kern w:val="0"/>
          <w:sz w:val="21"/>
          <w:szCs w:val="24"/>
        </w:rPr>
        <w:t>检验。</w:t>
      </w:r>
      <w:r>
        <w:rPr>
          <w:rFonts w:hint="default" w:ascii="Times New Roman" w:hAnsi="Times New Roman" w:eastAsia="宋体" w:cs="Times New Roman"/>
          <w:color w:val="auto"/>
          <w:sz w:val="21"/>
          <w:szCs w:val="24"/>
        </w:rPr>
        <w:t>卒中</w:t>
      </w:r>
      <w:r>
        <w:rPr>
          <w:rFonts w:hint="default" w:ascii="Times New Roman" w:hAnsi="Times New Roman" w:eastAsia="宋体" w:cs="Times New Roman"/>
          <w:color w:val="auto"/>
          <w:sz w:val="21"/>
          <w:szCs w:val="24"/>
          <w:lang w:val="en-US" w:eastAsia="zh-CN"/>
        </w:rPr>
        <w:t>类型</w:t>
      </w:r>
      <w:r>
        <w:rPr>
          <w:rFonts w:hint="eastAsia" w:ascii="Times New Roman" w:hAnsi="Times New Roman" w:eastAsia="宋体" w:cs="Times New Roman"/>
          <w:color w:val="auto"/>
          <w:sz w:val="21"/>
          <w:szCs w:val="24"/>
          <w:lang w:val="en-US" w:eastAsia="zh-CN"/>
        </w:rPr>
        <w:t>等</w:t>
      </w:r>
      <w:r>
        <w:rPr>
          <w:rFonts w:hint="default" w:ascii="Times New Roman" w:hAnsi="Times New Roman" w:eastAsia="宋体" w:cs="Times New Roman"/>
          <w:color w:val="auto"/>
          <w:sz w:val="21"/>
          <w:szCs w:val="24"/>
        </w:rPr>
        <w:t>计数资料以例（%）表示，</w:t>
      </w:r>
      <w:r>
        <w:rPr>
          <w:rFonts w:hint="eastAsia" w:ascii="Times New Roman" w:hAnsi="Times New Roman" w:eastAsia="宋体" w:cs="Times New Roman"/>
          <w:color w:val="auto"/>
          <w:kern w:val="0"/>
          <w:sz w:val="21"/>
          <w:szCs w:val="24"/>
          <w:lang w:eastAsia="zh-CN"/>
        </w:rPr>
        <w:t>组间比较</w:t>
      </w:r>
      <w:r>
        <w:rPr>
          <w:rFonts w:hint="default" w:ascii="Times New Roman" w:hAnsi="Times New Roman" w:eastAsia="宋体" w:cs="Times New Roman"/>
          <w:color w:val="auto"/>
          <w:sz w:val="21"/>
          <w:szCs w:val="24"/>
        </w:rPr>
        <w:t>采用</w:t>
      </w:r>
      <w:r>
        <w:rPr>
          <w:rFonts w:hint="default" w:ascii="Times New Roman" w:hAnsi="Times New Roman" w:eastAsia="宋体" w:cs="Times New Roman"/>
          <w:i/>
          <w:iCs/>
          <w:color w:val="auto"/>
          <w:kern w:val="0"/>
          <w:sz w:val="21"/>
          <w:szCs w:val="24"/>
        </w:rPr>
        <w:t>χ</w:t>
      </w:r>
      <w:r>
        <w:rPr>
          <w:rFonts w:hint="default" w:ascii="Times New Roman" w:hAnsi="Times New Roman" w:eastAsia="宋体" w:cs="Times New Roman"/>
          <w:i/>
          <w:iCs/>
          <w:color w:val="auto"/>
          <w:kern w:val="0"/>
          <w:sz w:val="21"/>
          <w:szCs w:val="24"/>
          <w:vertAlign w:val="superscript"/>
        </w:rPr>
        <w:t>2</w:t>
      </w:r>
      <w:r>
        <w:rPr>
          <w:rFonts w:hint="default" w:ascii="Times New Roman" w:hAnsi="Times New Roman" w:eastAsia="宋体" w:cs="Times New Roman"/>
          <w:color w:val="auto"/>
          <w:sz w:val="21"/>
          <w:szCs w:val="24"/>
        </w:rPr>
        <w:t>检验</w:t>
      </w:r>
      <w:r>
        <w:rPr>
          <w:rFonts w:hint="default" w:ascii="Times New Roman" w:hAnsi="Times New Roman" w:eastAsia="宋体" w:cs="Times New Roman"/>
          <w:color w:val="auto"/>
          <w:sz w:val="21"/>
          <w:szCs w:val="24"/>
          <w:lang w:eastAsia="zh-CN"/>
        </w:rPr>
        <w:t>；</w:t>
      </w:r>
      <w:r>
        <w:rPr>
          <w:rFonts w:hint="default" w:ascii="Times New Roman" w:hAnsi="Times New Roman" w:eastAsia="宋体" w:cs="Times New Roman"/>
          <w:color w:val="auto"/>
          <w:sz w:val="21"/>
          <w:szCs w:val="24"/>
          <w:lang w:val="en-US" w:eastAsia="zh-CN"/>
        </w:rPr>
        <w:t>当总样本量&lt;40，且</w:t>
      </w:r>
      <w:r>
        <w:rPr>
          <w:rFonts w:hint="default" w:ascii="Times New Roman" w:hAnsi="Times New Roman" w:eastAsia="宋体" w:cs="Times New Roman"/>
          <w:i w:val="0"/>
          <w:iCs w:val="0"/>
          <w:caps w:val="0"/>
          <w:color w:val="auto"/>
          <w:spacing w:val="0"/>
          <w:sz w:val="21"/>
          <w:szCs w:val="24"/>
          <w:shd w:val="clear" w:fill="FFFFFF"/>
        </w:rPr>
        <w:t>任何单元格的期望频数&lt;5</w:t>
      </w:r>
      <w:r>
        <w:rPr>
          <w:rFonts w:hint="default" w:ascii="Times New Roman" w:hAnsi="Times New Roman" w:eastAsia="宋体" w:cs="Times New Roman"/>
          <w:i w:val="0"/>
          <w:iCs w:val="0"/>
          <w:caps w:val="0"/>
          <w:color w:val="auto"/>
          <w:spacing w:val="0"/>
          <w:sz w:val="21"/>
          <w:szCs w:val="24"/>
          <w:shd w:val="clear" w:fill="FFFFFF"/>
          <w:lang w:eastAsia="zh-CN"/>
        </w:rPr>
        <w:t>，</w:t>
      </w:r>
      <w:r>
        <w:rPr>
          <w:rFonts w:hint="eastAsia" w:ascii="Times New Roman" w:hAnsi="Times New Roman" w:eastAsia="宋体" w:cs="Times New Roman"/>
          <w:i w:val="0"/>
          <w:iCs w:val="0"/>
          <w:caps w:val="0"/>
          <w:color w:val="auto"/>
          <w:spacing w:val="0"/>
          <w:sz w:val="21"/>
          <w:szCs w:val="24"/>
          <w:shd w:val="clear" w:fill="FFFFFF"/>
          <w:lang w:val="en-US" w:eastAsia="zh-CN"/>
        </w:rPr>
        <w:t>如性别和偏瘫侧，采用双侧确切概率法。</w:t>
      </w:r>
      <w:r>
        <w:rPr>
          <w:rFonts w:hint="eastAsia" w:ascii="Times New Roman" w:hAnsi="Times New Roman" w:eastAsia="宋体" w:cs="Times New Roman"/>
          <w:i w:val="0"/>
          <w:iCs w:val="0"/>
          <w:color w:val="auto"/>
          <w:kern w:val="0"/>
          <w:sz w:val="21"/>
          <w:szCs w:val="24"/>
          <w:u w:val="none"/>
          <w:vertAlign w:val="baseline"/>
          <w:lang w:val="en-US" w:eastAsia="zh-CN" w:bidi="ar"/>
        </w:rPr>
        <w:t>符合正态分布的计量资料用</w:t>
      </w:r>
      <w:r>
        <w:rPr>
          <w:rFonts w:ascii="Times New Roman" w:hAnsi="Times New Roman" w:eastAsia="宋体"/>
          <w:color w:val="auto"/>
          <w:position w:val="-6"/>
          <w:sz w:val="21"/>
          <w:szCs w:val="21"/>
        </w:rPr>
        <w:object>
          <v:shape id="_x0000_i1025"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25" DrawAspect="Content" ObjectID="_1468075725" r:id="rId4">
            <o:LockedField>false</o:LockedField>
          </o:OLEObject>
        </w:object>
      </w:r>
      <w:r>
        <w:rPr>
          <w:rFonts w:hint="eastAsia" w:ascii="Times New Roman" w:hAnsi="Times New Roman" w:eastAsia="宋体" w:cs="Times New Roman"/>
          <w:i w:val="0"/>
          <w:iCs w:val="0"/>
          <w:color w:val="auto"/>
          <w:kern w:val="0"/>
          <w:sz w:val="21"/>
          <w:szCs w:val="24"/>
          <w:u w:val="none"/>
          <w:vertAlign w:val="baseline"/>
          <w:lang w:val="en-US" w:eastAsia="zh-CN" w:bidi="ar"/>
        </w:rPr>
        <w:t>表示，比较</w:t>
      </w:r>
      <w:r>
        <w:rPr>
          <w:rFonts w:hint="default" w:ascii="Times New Roman" w:hAnsi="Times New Roman" w:eastAsia="宋体" w:cs="Times New Roman"/>
          <w:color w:val="auto"/>
          <w:kern w:val="0"/>
          <w:sz w:val="21"/>
          <w:szCs w:val="24"/>
        </w:rPr>
        <w:t>采用</w:t>
      </w:r>
      <w:r>
        <w:rPr>
          <w:rFonts w:hint="default" w:ascii="Times New Roman" w:hAnsi="Times New Roman" w:eastAsia="宋体" w:cs="Times New Roman"/>
          <w:i/>
          <w:iCs/>
          <w:color w:val="auto"/>
          <w:kern w:val="0"/>
          <w:sz w:val="21"/>
          <w:szCs w:val="24"/>
        </w:rPr>
        <w:t>t</w:t>
      </w:r>
      <w:r>
        <w:rPr>
          <w:rFonts w:hint="default" w:ascii="Times New Roman" w:hAnsi="Times New Roman" w:eastAsia="宋体" w:cs="Times New Roman"/>
          <w:color w:val="auto"/>
          <w:kern w:val="0"/>
          <w:sz w:val="21"/>
          <w:szCs w:val="24"/>
        </w:rPr>
        <w:t>检验</w:t>
      </w:r>
      <w:r>
        <w:rPr>
          <w:rFonts w:hint="eastAsia" w:ascii="Times New Roman" w:hAnsi="Times New Roman" w:eastAsia="宋体" w:cs="Times New Roman"/>
          <w:color w:val="auto"/>
          <w:kern w:val="0"/>
          <w:sz w:val="21"/>
          <w:szCs w:val="24"/>
          <w:lang w:eastAsia="zh-CN"/>
        </w:rPr>
        <w:t>；不符合</w:t>
      </w:r>
      <w:r>
        <w:rPr>
          <w:rFonts w:hint="default" w:ascii="Times New Roman" w:hAnsi="Times New Roman" w:eastAsia="宋体" w:cs="Times New Roman"/>
          <w:color w:val="auto"/>
          <w:kern w:val="0"/>
          <w:sz w:val="21"/>
          <w:szCs w:val="24"/>
        </w:rPr>
        <w:t>正态分布的计量资料</w:t>
      </w:r>
      <w:r>
        <w:rPr>
          <w:rFonts w:hint="eastAsia" w:ascii="Times New Roman" w:hAnsi="Times New Roman" w:eastAsia="宋体" w:cs="Times New Roman"/>
          <w:color w:val="auto"/>
          <w:kern w:val="0"/>
          <w:sz w:val="21"/>
          <w:szCs w:val="24"/>
          <w:lang w:eastAsia="zh-CN"/>
        </w:rPr>
        <w:t>用</w:t>
      </w:r>
      <w:r>
        <w:rPr>
          <w:rFonts w:hint="eastAsia" w:ascii="Times New Roman" w:hAnsi="Times New Roman" w:eastAsia="宋体" w:cs="Times New Roman"/>
          <w:i/>
          <w:iCs/>
          <w:color w:val="auto"/>
          <w:kern w:val="0"/>
          <w:sz w:val="21"/>
          <w:szCs w:val="24"/>
          <w:lang w:val="en-US" w:eastAsia="zh-CN"/>
        </w:rPr>
        <w:t>M</w:t>
      </w:r>
      <w:r>
        <w:rPr>
          <w:rFonts w:hint="eastAsia" w:ascii="Times New Roman" w:hAnsi="Times New Roman" w:eastAsia="宋体" w:cs="Times New Roman"/>
          <w:i w:val="0"/>
          <w:iCs w:val="0"/>
          <w:color w:val="auto"/>
          <w:kern w:val="0"/>
          <w:sz w:val="21"/>
          <w:szCs w:val="24"/>
          <w:lang w:val="en-US" w:eastAsia="zh-CN"/>
        </w:rPr>
        <w:t>（</w:t>
      </w:r>
      <w:r>
        <w:rPr>
          <w:rFonts w:hint="eastAsia" w:ascii="Times New Roman" w:hAnsi="Times New Roman" w:eastAsia="宋体" w:cs="Times New Roman"/>
          <w:i/>
          <w:iCs/>
          <w:color w:val="auto"/>
          <w:kern w:val="0"/>
          <w:sz w:val="21"/>
          <w:szCs w:val="24"/>
          <w:lang w:val="en-US" w:eastAsia="zh-CN"/>
        </w:rPr>
        <w:t>Q</w:t>
      </w:r>
      <w:r>
        <w:rPr>
          <w:rFonts w:hint="eastAsia" w:ascii="Times New Roman" w:hAnsi="Times New Roman" w:eastAsia="宋体" w:cs="Times New Roman"/>
          <w:i w:val="0"/>
          <w:iCs w:val="0"/>
          <w:color w:val="auto"/>
          <w:kern w:val="0"/>
          <w:sz w:val="21"/>
          <w:szCs w:val="24"/>
          <w:vertAlign w:val="subscript"/>
          <w:lang w:val="en-US" w:eastAsia="zh-CN"/>
        </w:rPr>
        <w:t>1</w:t>
      </w:r>
      <w:r>
        <w:rPr>
          <w:rFonts w:hint="eastAsia" w:ascii="Times New Roman" w:hAnsi="Times New Roman" w:eastAsia="宋体" w:cs="Times New Roman"/>
          <w:i w:val="0"/>
          <w:iCs w:val="0"/>
          <w:color w:val="auto"/>
          <w:kern w:val="0"/>
          <w:sz w:val="21"/>
          <w:szCs w:val="24"/>
          <w:lang w:val="en-US" w:eastAsia="zh-CN"/>
        </w:rPr>
        <w:t>，</w:t>
      </w:r>
      <w:r>
        <w:rPr>
          <w:rFonts w:hint="eastAsia" w:ascii="Times New Roman" w:hAnsi="Times New Roman" w:eastAsia="宋体" w:cs="Times New Roman"/>
          <w:i/>
          <w:iCs/>
          <w:color w:val="auto"/>
          <w:kern w:val="0"/>
          <w:sz w:val="21"/>
          <w:szCs w:val="24"/>
          <w:lang w:val="en-US" w:eastAsia="zh-CN"/>
        </w:rPr>
        <w:t>Q</w:t>
      </w:r>
      <w:r>
        <w:rPr>
          <w:rFonts w:hint="eastAsia" w:ascii="Times New Roman" w:hAnsi="Times New Roman" w:eastAsia="宋体" w:cs="Times New Roman"/>
          <w:i w:val="0"/>
          <w:iCs w:val="0"/>
          <w:color w:val="auto"/>
          <w:kern w:val="0"/>
          <w:sz w:val="21"/>
          <w:szCs w:val="24"/>
          <w:vertAlign w:val="subscript"/>
          <w:lang w:val="en-US" w:eastAsia="zh-CN"/>
        </w:rPr>
        <w:t>3</w:t>
      </w:r>
      <w:r>
        <w:rPr>
          <w:rFonts w:hint="eastAsia" w:ascii="Times New Roman" w:hAnsi="Times New Roman" w:eastAsia="宋体" w:cs="Times New Roman"/>
          <w:i w:val="0"/>
          <w:iCs w:val="0"/>
          <w:color w:val="auto"/>
          <w:kern w:val="0"/>
          <w:sz w:val="21"/>
          <w:szCs w:val="24"/>
          <w:lang w:val="en-US" w:eastAsia="zh-CN"/>
        </w:rPr>
        <w:t>）表示</w:t>
      </w:r>
      <w:r>
        <w:rPr>
          <w:rFonts w:hint="eastAsia" w:ascii="Times New Roman" w:hAnsi="Times New Roman" w:eastAsia="宋体" w:cs="Times New Roman"/>
          <w:color w:val="auto"/>
          <w:kern w:val="0"/>
          <w:sz w:val="21"/>
          <w:szCs w:val="24"/>
          <w:lang w:eastAsia="zh-CN"/>
        </w:rPr>
        <w:t>，</w:t>
      </w:r>
      <w:r>
        <w:rPr>
          <w:rFonts w:hint="eastAsia" w:ascii="Times New Roman" w:hAnsi="Times New Roman" w:eastAsia="宋体" w:cs="Times New Roman"/>
          <w:color w:val="auto"/>
          <w:kern w:val="0"/>
          <w:sz w:val="21"/>
          <w:szCs w:val="24"/>
          <w:lang w:val="en-US" w:eastAsia="zh-CN"/>
        </w:rPr>
        <w:t>采用</w:t>
      </w:r>
      <w:r>
        <w:rPr>
          <w:rFonts w:hint="default" w:ascii="Times New Roman" w:hAnsi="Times New Roman" w:eastAsia="宋体" w:cs="Times New Roman"/>
          <w:color w:val="auto"/>
          <w:kern w:val="0"/>
          <w:sz w:val="21"/>
          <w:szCs w:val="24"/>
        </w:rPr>
        <w:t>双关联样本秩和检验。采用重复方差分析骨盆关节同一指标不同时间点的变化趋势。所有检验均采取双侧检验，</w:t>
      </w:r>
      <w:r>
        <w:rPr>
          <w:rFonts w:hint="eastAsia" w:ascii="Times New Roman" w:hAnsi="Times New Roman" w:eastAsia="宋体"/>
          <w:color w:val="auto"/>
          <w:sz w:val="21"/>
          <w:szCs w:val="21"/>
        </w:rPr>
        <w:t>以</w:t>
      </w:r>
      <w:r>
        <w:rPr>
          <w:rFonts w:hint="eastAsia" w:ascii="Times New Roman" w:hAnsi="Times New Roman" w:eastAsia="宋体"/>
          <w:i/>
          <w:iCs/>
          <w:color w:val="auto"/>
          <w:sz w:val="21"/>
          <w:szCs w:val="21"/>
        </w:rPr>
        <w:t>P</w:t>
      </w:r>
      <w:r>
        <w:rPr>
          <w:rFonts w:hint="eastAsia" w:ascii="Times New Roman" w:hAnsi="Times New Roman" w:eastAsia="宋体"/>
          <w:color w:val="auto"/>
          <w:sz w:val="21"/>
          <w:szCs w:val="21"/>
        </w:rPr>
        <w:t>&lt;0.05为差异有统计学意义。</w:t>
      </w:r>
    </w:p>
    <w:p w14:paraId="3EB733A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kern w:val="0"/>
          <w:sz w:val="21"/>
          <w:szCs w:val="24"/>
        </w:rPr>
      </w:pPr>
      <w:r>
        <w:rPr>
          <w:rFonts w:ascii="Times New Roman" w:hAnsi="Times New Roman" w:eastAsia="宋体"/>
          <w:b/>
          <w:bCs/>
          <w:color w:val="auto"/>
          <w:kern w:val="0"/>
          <w:sz w:val="21"/>
          <w:szCs w:val="24"/>
        </w:rPr>
        <w:t>结</w:t>
      </w:r>
      <w:r>
        <w:rPr>
          <w:rFonts w:hint="eastAsia" w:ascii="Times New Roman" w:hAnsi="Times New Roman" w:eastAsia="宋体"/>
          <w:b/>
          <w:bCs/>
          <w:color w:val="auto"/>
          <w:kern w:val="0"/>
          <w:sz w:val="21"/>
          <w:szCs w:val="24"/>
          <w:lang w:val="en-US" w:eastAsia="zh-CN"/>
        </w:rPr>
        <w:t xml:space="preserve">    </w:t>
      </w:r>
      <w:r>
        <w:rPr>
          <w:rFonts w:ascii="Times New Roman" w:hAnsi="Times New Roman" w:eastAsia="宋体"/>
          <w:b/>
          <w:bCs/>
          <w:color w:val="auto"/>
          <w:kern w:val="0"/>
          <w:sz w:val="21"/>
          <w:szCs w:val="24"/>
        </w:rPr>
        <w:t>果</w:t>
      </w:r>
    </w:p>
    <w:p w14:paraId="15458974">
      <w:pPr>
        <w:keepNext w:val="0"/>
        <w:keepLines w:val="0"/>
        <w:pageBreakBefore w:val="0"/>
        <w:numPr>
          <w:ilvl w:val="255"/>
          <w:numId w:val="0"/>
        </w:numPr>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rPr>
        <w:t>一、</w:t>
      </w:r>
      <w:r>
        <w:rPr>
          <w:rFonts w:ascii="Times New Roman" w:hAnsi="Times New Roman" w:eastAsia="宋体"/>
          <w:color w:val="auto"/>
          <w:kern w:val="0"/>
          <w:sz w:val="21"/>
          <w:szCs w:val="24"/>
        </w:rPr>
        <w:t>入组患者一般情况</w:t>
      </w:r>
      <w:r>
        <w:rPr>
          <w:rFonts w:hint="eastAsia" w:ascii="Times New Roman" w:hAnsi="Times New Roman" w:eastAsia="宋体"/>
          <w:color w:val="auto"/>
          <w:kern w:val="0"/>
          <w:sz w:val="21"/>
          <w:szCs w:val="24"/>
          <w:lang w:val="en-US" w:eastAsia="zh-CN"/>
        </w:rPr>
        <w:t>统计</w:t>
      </w:r>
    </w:p>
    <w:p w14:paraId="3CED7248">
      <w:pPr>
        <w:keepNext w:val="0"/>
        <w:keepLines w:val="0"/>
        <w:pageBreakBefore w:val="0"/>
        <w:numPr>
          <w:ilvl w:val="255"/>
          <w:numId w:val="0"/>
        </w:numPr>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本研究共入组</w:t>
      </w:r>
      <w:r>
        <w:rPr>
          <w:rFonts w:ascii="Times New Roman" w:hAnsi="Times New Roman" w:eastAsia="宋体"/>
          <w:color w:val="auto"/>
          <w:kern w:val="0"/>
          <w:sz w:val="21"/>
          <w:szCs w:val="24"/>
        </w:rPr>
        <w:t>25例患者</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其中，</w:t>
      </w:r>
      <w:r>
        <w:rPr>
          <w:rFonts w:ascii="Times New Roman" w:hAnsi="Times New Roman" w:eastAsia="宋体"/>
          <w:color w:val="auto"/>
          <w:kern w:val="0"/>
          <w:sz w:val="21"/>
          <w:szCs w:val="24"/>
        </w:rPr>
        <w:t>男性21例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女性4例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年龄30</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65岁，平均年龄（5</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24±1</w:t>
      </w:r>
      <w:r>
        <w:rPr>
          <w:rFonts w:hint="eastAsia" w:ascii="Times New Roman" w:hAnsi="Times New Roman" w:eastAsia="宋体"/>
          <w:color w:val="auto"/>
          <w:kern w:val="0"/>
          <w:sz w:val="21"/>
          <w:szCs w:val="24"/>
          <w:lang w:eastAsia="zh-CN"/>
        </w:rPr>
        <w:t>1.</w:t>
      </w:r>
      <w:r>
        <w:rPr>
          <w:rFonts w:ascii="Times New Roman" w:hAnsi="Times New Roman" w:eastAsia="宋体"/>
          <w:color w:val="auto"/>
          <w:kern w:val="0"/>
          <w:sz w:val="21"/>
          <w:szCs w:val="24"/>
        </w:rPr>
        <w:t>65）岁；脑梗死20例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脑出血5例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左侧偏瘫11例</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右侧偏瘫14例。</w:t>
      </w:r>
    </w:p>
    <w:p w14:paraId="5E4CBB2A">
      <w:pPr>
        <w:keepNext w:val="0"/>
        <w:keepLines w:val="0"/>
        <w:pageBreakBefore w:val="0"/>
        <w:numPr>
          <w:ilvl w:val="255"/>
          <w:numId w:val="0"/>
        </w:numPr>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s="宋体"/>
          <w:i w:val="0"/>
          <w:iCs w:val="0"/>
          <w:color w:val="auto"/>
          <w:kern w:val="0"/>
          <w:sz w:val="21"/>
          <w:szCs w:val="24"/>
          <w:u w:val="none"/>
          <w:lang w:val="en-US" w:eastAsia="zh-CN" w:bidi="ar"/>
        </w:rPr>
      </w:pPr>
      <w:r>
        <w:rPr>
          <w:rFonts w:ascii="Times New Roman" w:hAnsi="Times New Roman" w:eastAsia="宋体"/>
          <w:color w:val="auto"/>
          <w:kern w:val="0"/>
          <w:sz w:val="21"/>
          <w:szCs w:val="24"/>
        </w:rPr>
        <w:t>根据步行距离分组，室内步行组12例，</w:t>
      </w:r>
      <w:r>
        <w:rPr>
          <w:rFonts w:hint="eastAsia" w:ascii="Times New Roman" w:hAnsi="Times New Roman" w:eastAsia="宋体"/>
          <w:color w:val="auto"/>
          <w:kern w:val="0"/>
          <w:sz w:val="21"/>
          <w:szCs w:val="24"/>
          <w:lang w:val="en-US" w:eastAsia="zh-CN"/>
        </w:rPr>
        <w:t>步行速度为（</w:t>
      </w:r>
      <w:r>
        <w:rPr>
          <w:rFonts w:hint="eastAsia" w:ascii="Times New Roman" w:hAnsi="Times New Roman" w:eastAsia="宋体" w:cs="宋体"/>
          <w:i w:val="0"/>
          <w:iCs w:val="0"/>
          <w:color w:val="auto"/>
          <w:kern w:val="0"/>
          <w:sz w:val="21"/>
          <w:szCs w:val="24"/>
          <w:u w:val="none"/>
          <w:lang w:val="en-US" w:eastAsia="zh-CN" w:bidi="ar"/>
        </w:rPr>
        <w:t>0.28±0.17</w:t>
      </w:r>
      <w:r>
        <w:rPr>
          <w:rFonts w:hint="eastAsia" w:ascii="Times New Roman" w:hAnsi="Times New Roman" w:eastAsia="宋体"/>
          <w:color w:val="auto"/>
          <w:kern w:val="0"/>
          <w:sz w:val="21"/>
          <w:szCs w:val="24"/>
          <w:lang w:val="en-US" w:eastAsia="zh-CN"/>
        </w:rPr>
        <w:t>）m/s</w:t>
      </w:r>
      <w:r>
        <w:rPr>
          <w:rFonts w:hint="eastAsia" w:ascii="Times New Roman" w:hAnsi="Times New Roman" w:eastAsia="宋体" w:cs="宋体"/>
          <w:i w:val="0"/>
          <w:iCs w:val="0"/>
          <w:color w:val="auto"/>
          <w:kern w:val="0"/>
          <w:sz w:val="21"/>
          <w:szCs w:val="24"/>
          <w:u w:val="none"/>
          <w:lang w:val="en-US" w:eastAsia="zh-CN" w:bidi="ar"/>
        </w:rPr>
        <w:t>，</w:t>
      </w:r>
      <w:r>
        <w:rPr>
          <w:rFonts w:ascii="Times New Roman" w:hAnsi="Times New Roman" w:eastAsia="宋体"/>
          <w:color w:val="auto"/>
          <w:kern w:val="0"/>
          <w:sz w:val="21"/>
          <w:szCs w:val="24"/>
        </w:rPr>
        <w:t>室外步行组13例</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步行速度为（</w:t>
      </w:r>
      <w:r>
        <w:rPr>
          <w:rFonts w:hint="eastAsia" w:ascii="Times New Roman" w:hAnsi="Times New Roman" w:eastAsia="宋体" w:cs="宋体"/>
          <w:i w:val="0"/>
          <w:iCs w:val="0"/>
          <w:color w:val="auto"/>
          <w:kern w:val="0"/>
          <w:sz w:val="21"/>
          <w:szCs w:val="24"/>
          <w:u w:val="none"/>
          <w:lang w:val="en-US" w:eastAsia="zh-CN" w:bidi="ar"/>
        </w:rPr>
        <w:t>0.56±0.21</w:t>
      </w:r>
      <w:r>
        <w:rPr>
          <w:rFonts w:hint="eastAsia" w:ascii="Times New Roman" w:hAnsi="Times New Roman" w:eastAsia="宋体"/>
          <w:color w:val="auto"/>
          <w:kern w:val="0"/>
          <w:sz w:val="21"/>
          <w:szCs w:val="24"/>
          <w:lang w:val="en-US" w:eastAsia="zh-CN"/>
        </w:rPr>
        <w:t>）m/s</w:t>
      </w:r>
      <w:r>
        <w:rPr>
          <w:rFonts w:hint="eastAsia" w:ascii="Times New Roman" w:hAnsi="Times New Roman" w:eastAsia="宋体" w:cs="宋体"/>
          <w:i w:val="0"/>
          <w:iCs w:val="0"/>
          <w:color w:val="auto"/>
          <w:kern w:val="0"/>
          <w:sz w:val="21"/>
          <w:szCs w:val="24"/>
          <w:u w:val="none"/>
          <w:lang w:val="en-US" w:eastAsia="zh-CN" w:bidi="ar"/>
        </w:rPr>
        <w:t>，2组</w:t>
      </w:r>
      <w:r>
        <w:rPr>
          <w:rFonts w:hint="eastAsia" w:ascii="Times New Roman" w:hAnsi="Times New Roman" w:eastAsia="宋体"/>
          <w:color w:val="auto"/>
          <w:kern w:val="0"/>
          <w:sz w:val="21"/>
          <w:szCs w:val="24"/>
          <w:lang w:val="en-US" w:eastAsia="zh-CN"/>
        </w:rPr>
        <w:t>步行速度</w:t>
      </w:r>
      <w:r>
        <w:rPr>
          <w:rFonts w:hint="eastAsia" w:ascii="Times New Roman" w:hAnsi="Times New Roman" w:eastAsia="宋体" w:cs="宋体"/>
          <w:i w:val="0"/>
          <w:iCs w:val="0"/>
          <w:color w:val="auto"/>
          <w:kern w:val="0"/>
          <w:sz w:val="21"/>
          <w:szCs w:val="24"/>
          <w:u w:val="none"/>
          <w:lang w:val="en-US" w:eastAsia="zh-CN" w:bidi="ar"/>
        </w:rPr>
        <w:t>比较差异有</w:t>
      </w:r>
      <w:r>
        <w:rPr>
          <w:rFonts w:hint="eastAsia" w:ascii="Times New Roman" w:hAnsi="Times New Roman" w:eastAsia="宋体"/>
          <w:color w:val="auto"/>
          <w:kern w:val="0"/>
          <w:sz w:val="21"/>
          <w:szCs w:val="24"/>
          <w:lang w:val="en-US" w:eastAsia="zh-CN"/>
        </w:rPr>
        <w:t>统计学</w:t>
      </w:r>
      <w:r>
        <w:rPr>
          <w:rFonts w:hint="eastAsia" w:ascii="Times New Roman" w:hAnsi="Times New Roman" w:eastAsia="宋体" w:cs="宋体"/>
          <w:i w:val="0"/>
          <w:iCs w:val="0"/>
          <w:color w:val="auto"/>
          <w:kern w:val="0"/>
          <w:sz w:val="21"/>
          <w:szCs w:val="24"/>
          <w:u w:val="none"/>
          <w:lang w:val="en-US" w:eastAsia="zh-CN" w:bidi="ar"/>
        </w:rPr>
        <w:t>意义（</w:t>
      </w:r>
      <w:r>
        <w:rPr>
          <w:rFonts w:hint="eastAsia" w:ascii="Times New Roman" w:hAnsi="Times New Roman" w:eastAsia="宋体" w:cs="宋体"/>
          <w:i/>
          <w:iCs/>
          <w:color w:val="auto"/>
          <w:kern w:val="0"/>
          <w:sz w:val="21"/>
          <w:szCs w:val="24"/>
          <w:u w:val="none"/>
          <w:lang w:val="en-US" w:eastAsia="zh-CN" w:bidi="ar"/>
        </w:rPr>
        <w:t>P</w:t>
      </w:r>
      <w:r>
        <w:rPr>
          <w:rFonts w:hint="eastAsia" w:ascii="Times New Roman" w:hAnsi="Times New Roman" w:eastAsia="宋体" w:cs="宋体"/>
          <w:i w:val="0"/>
          <w:iCs w:val="0"/>
          <w:color w:val="auto"/>
          <w:kern w:val="0"/>
          <w:sz w:val="21"/>
          <w:szCs w:val="24"/>
          <w:u w:val="none"/>
          <w:lang w:val="en-US" w:eastAsia="zh-CN" w:bidi="ar"/>
        </w:rPr>
        <w:t>=0.001）。</w:t>
      </w:r>
      <w:r>
        <w:rPr>
          <w:rFonts w:hint="eastAsia" w:ascii="Times New Roman" w:hAnsi="Times New Roman" w:eastAsia="宋体"/>
          <w:color w:val="auto"/>
          <w:kern w:val="0"/>
          <w:sz w:val="21"/>
          <w:szCs w:val="24"/>
          <w:lang w:eastAsia="zh-CN"/>
        </w:rPr>
        <w:t>2组患者</w:t>
      </w:r>
      <w:r>
        <w:rPr>
          <w:rFonts w:hint="eastAsia" w:ascii="Times New Roman" w:hAnsi="Times New Roman" w:eastAsia="宋体"/>
          <w:color w:val="auto"/>
          <w:kern w:val="0"/>
          <w:sz w:val="21"/>
          <w:szCs w:val="24"/>
        </w:rPr>
        <w:t>性别、年龄、身高、体</w:t>
      </w:r>
      <w:r>
        <w:rPr>
          <w:rFonts w:hint="eastAsia" w:ascii="Times New Roman" w:hAnsi="Times New Roman" w:eastAsia="宋体"/>
          <w:color w:val="auto"/>
          <w:kern w:val="0"/>
          <w:sz w:val="21"/>
          <w:szCs w:val="24"/>
          <w:lang w:val="en-US" w:eastAsia="zh-CN"/>
        </w:rPr>
        <w:t>质量</w:t>
      </w:r>
      <w:r>
        <w:rPr>
          <w:rFonts w:hint="eastAsia" w:ascii="Times New Roman" w:hAnsi="Times New Roman" w:eastAsia="宋体"/>
          <w:color w:val="auto"/>
          <w:kern w:val="0"/>
          <w:sz w:val="21"/>
          <w:szCs w:val="24"/>
        </w:rPr>
        <w:t>、病程、卒中类型及偏瘫侧间</w:t>
      </w:r>
      <w:r>
        <w:rPr>
          <w:rFonts w:hint="eastAsia" w:ascii="Times New Roman" w:hAnsi="Times New Roman" w:eastAsia="宋体"/>
          <w:color w:val="auto"/>
          <w:kern w:val="0"/>
          <w:sz w:val="21"/>
          <w:szCs w:val="24"/>
          <w:lang w:val="en-US" w:eastAsia="zh-CN"/>
        </w:rPr>
        <w:t>比较，</w:t>
      </w:r>
      <w:r>
        <w:rPr>
          <w:rFonts w:hint="eastAsia" w:ascii="Times New Roman" w:hAnsi="Times New Roman" w:eastAsia="宋体"/>
          <w:color w:val="auto"/>
          <w:kern w:val="0"/>
          <w:sz w:val="21"/>
          <w:szCs w:val="24"/>
        </w:rPr>
        <w:t>差异均</w:t>
      </w:r>
      <w:r>
        <w:rPr>
          <w:rFonts w:hint="eastAsia" w:ascii="Times New Roman" w:hAnsi="Times New Roman" w:eastAsia="宋体"/>
          <w:color w:val="auto"/>
          <w:kern w:val="0"/>
          <w:sz w:val="21"/>
          <w:szCs w:val="24"/>
          <w:lang w:val="en-US" w:eastAsia="zh-CN"/>
        </w:rPr>
        <w:t>无统计学意义（</w:t>
      </w:r>
      <w:r>
        <w:rPr>
          <w:rFonts w:hint="eastAsia" w:ascii="Times New Roman" w:hAnsi="Times New Roman" w:eastAsia="宋体" w:cs="宋体"/>
          <w:i/>
          <w:iCs/>
          <w:color w:val="auto"/>
          <w:kern w:val="0"/>
          <w:sz w:val="21"/>
          <w:szCs w:val="24"/>
          <w:u w:val="none"/>
          <w:lang w:val="en-US" w:eastAsia="zh-CN" w:bidi="ar"/>
        </w:rPr>
        <w:t>P</w:t>
      </w:r>
      <w:r>
        <w:rPr>
          <w:rFonts w:hint="eastAsia" w:ascii="Times New Roman" w:hAnsi="Times New Roman" w:eastAsia="宋体" w:cs="宋体"/>
          <w:i w:val="0"/>
          <w:iCs w:val="0"/>
          <w:color w:val="auto"/>
          <w:kern w:val="0"/>
          <w:sz w:val="21"/>
          <w:szCs w:val="24"/>
          <w:u w:val="none"/>
          <w:lang w:val="en-US" w:eastAsia="zh-CN" w:bidi="ar"/>
        </w:rPr>
        <w:t>均</w:t>
      </w:r>
      <w:r>
        <w:rPr>
          <w:rFonts w:hint="eastAsia" w:ascii="Times New Roman" w:hAnsi="Times New Roman" w:eastAsia="宋体"/>
          <w:color w:val="auto"/>
          <w:kern w:val="0"/>
          <w:sz w:val="21"/>
          <w:szCs w:val="24"/>
          <w:lang w:val="en-US" w:eastAsia="zh-CN"/>
        </w:rPr>
        <w:t>＞0.05</w:t>
      </w:r>
      <w:r>
        <w:rPr>
          <w:rFonts w:hint="eastAsia" w:ascii="Times New Roman" w:hAnsi="Times New Roman" w:eastAsia="宋体" w:cs="宋体"/>
          <w:i w:val="0"/>
          <w:iCs w:val="0"/>
          <w:color w:val="auto"/>
          <w:kern w:val="0"/>
          <w:sz w:val="21"/>
          <w:szCs w:val="24"/>
          <w:u w:val="none"/>
          <w:lang w:val="en-US" w:eastAsia="zh-CN" w:bidi="ar"/>
        </w:rPr>
        <w:t>，</w:t>
      </w:r>
      <w:r>
        <w:rPr>
          <w:rFonts w:hint="eastAsia" w:ascii="Times New Roman" w:hAnsi="Times New Roman" w:eastAsia="宋体"/>
          <w:color w:val="auto"/>
          <w:kern w:val="0"/>
          <w:sz w:val="21"/>
          <w:szCs w:val="24"/>
        </w:rPr>
        <w:t>表1</w:t>
      </w:r>
      <w:r>
        <w:rPr>
          <w:rFonts w:hint="eastAsia" w:ascii="Times New Roman" w:hAnsi="Times New Roman" w:eastAsia="宋体"/>
          <w:color w:val="auto"/>
          <w:kern w:val="0"/>
          <w:sz w:val="21"/>
          <w:szCs w:val="24"/>
          <w:lang w:val="en-US" w:eastAsia="zh-CN"/>
        </w:rPr>
        <w:t>）</w:t>
      </w:r>
      <w:r>
        <w:rPr>
          <w:rFonts w:hint="eastAsia" w:ascii="Times New Roman" w:hAnsi="Times New Roman" w:eastAsia="宋体"/>
          <w:color w:val="auto"/>
          <w:kern w:val="0"/>
          <w:sz w:val="21"/>
          <w:szCs w:val="24"/>
        </w:rPr>
        <w:t>。</w:t>
      </w:r>
    </w:p>
    <w:p w14:paraId="761AEA05">
      <w:pPr>
        <w:keepNext w:val="0"/>
        <w:keepLines w:val="0"/>
        <w:pageBreakBefore w:val="0"/>
        <w:numPr>
          <w:ilvl w:val="255"/>
          <w:numId w:val="0"/>
        </w:numPr>
        <w:kinsoku/>
        <w:wordWrap/>
        <w:overflowPunct/>
        <w:topLinePunct w:val="0"/>
        <w:autoSpaceDE/>
        <w:autoSpaceDN/>
        <w:bidi w:val="0"/>
        <w:adjustRightInd/>
        <w:snapToGrid/>
        <w:spacing w:beforeAutospacing="0" w:afterAutospacing="0" w:line="360" w:lineRule="auto"/>
        <w:ind w:firstLine="422" w:firstLineChars="200"/>
        <w:jc w:val="center"/>
        <w:rPr>
          <w:rFonts w:hint="eastAsia" w:ascii="Times New Roman" w:hAnsi="Times New Roman" w:eastAsia="宋体"/>
          <w:color w:val="auto"/>
          <w:sz w:val="21"/>
          <w:szCs w:val="24"/>
        </w:rPr>
      </w:pPr>
      <w:r>
        <w:rPr>
          <w:rFonts w:ascii="Times New Roman" w:hAnsi="Times New Roman" w:eastAsia="宋体"/>
          <w:b/>
          <w:bCs/>
          <w:color w:val="auto"/>
          <w:sz w:val="21"/>
          <w:szCs w:val="24"/>
        </w:rPr>
        <w:t>表</w:t>
      </w:r>
      <w:r>
        <w:rPr>
          <w:rFonts w:ascii="Times New Roman" w:hAnsi="Times New Roman" w:eastAsia="宋体"/>
          <w:b/>
          <w:bCs/>
          <w:color w:val="auto"/>
          <w:sz w:val="21"/>
          <w:szCs w:val="24"/>
        </w:rPr>
        <w:fldChar w:fldCharType="begin"/>
      </w:r>
      <w:r>
        <w:rPr>
          <w:rFonts w:ascii="Times New Roman" w:hAnsi="Times New Roman" w:eastAsia="宋体"/>
          <w:b/>
          <w:bCs/>
          <w:color w:val="auto"/>
          <w:sz w:val="21"/>
          <w:szCs w:val="24"/>
        </w:rPr>
        <w:instrText xml:space="preserve"> SEQ 表 \* ARABIC </w:instrText>
      </w:r>
      <w:r>
        <w:rPr>
          <w:rFonts w:ascii="Times New Roman" w:hAnsi="Times New Roman" w:eastAsia="宋体"/>
          <w:b/>
          <w:bCs/>
          <w:color w:val="auto"/>
          <w:sz w:val="21"/>
          <w:szCs w:val="24"/>
        </w:rPr>
        <w:fldChar w:fldCharType="separate"/>
      </w:r>
      <w:r>
        <w:rPr>
          <w:rFonts w:ascii="Times New Roman" w:hAnsi="Times New Roman" w:eastAsia="宋体"/>
          <w:b/>
          <w:bCs/>
          <w:color w:val="auto"/>
          <w:sz w:val="21"/>
          <w:szCs w:val="24"/>
        </w:rPr>
        <w:t>1</w:t>
      </w:r>
      <w:r>
        <w:rPr>
          <w:rFonts w:ascii="Times New Roman" w:hAnsi="Times New Roman" w:eastAsia="宋体"/>
          <w:b/>
          <w:bCs/>
          <w:color w:val="auto"/>
          <w:sz w:val="21"/>
          <w:szCs w:val="24"/>
        </w:rPr>
        <w:fldChar w:fldCharType="end"/>
      </w:r>
      <w:r>
        <w:rPr>
          <w:rFonts w:hint="eastAsia" w:ascii="Times New Roman" w:hAnsi="Times New Roman" w:eastAsia="宋体"/>
          <w:color w:val="auto"/>
          <w:sz w:val="21"/>
          <w:szCs w:val="24"/>
        </w:rPr>
        <w:t xml:space="preserve"> </w:t>
      </w:r>
      <w:r>
        <w:rPr>
          <w:rFonts w:hint="eastAsia" w:ascii="Times New Roman" w:hAnsi="Times New Roman" w:eastAsia="宋体"/>
          <w:color w:val="auto"/>
          <w:sz w:val="21"/>
          <w:szCs w:val="24"/>
          <w:lang w:val="en-US" w:eastAsia="zh-CN"/>
        </w:rPr>
        <w:t xml:space="preserve">  </w:t>
      </w:r>
      <w:r>
        <w:rPr>
          <w:rFonts w:hint="eastAsia" w:ascii="Times New Roman" w:hAnsi="Times New Roman" w:eastAsia="宋体"/>
          <w:color w:val="auto"/>
          <w:sz w:val="21"/>
          <w:szCs w:val="24"/>
        </w:rPr>
        <w:t>室内步行组和室外步行组基线资料比较</w:t>
      </w:r>
    </w:p>
    <w:tbl>
      <w:tblPr>
        <w:tblStyle w:val="10"/>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08"/>
        <w:gridCol w:w="2277"/>
        <w:gridCol w:w="2277"/>
        <w:gridCol w:w="1164"/>
        <w:gridCol w:w="812"/>
      </w:tblGrid>
      <w:tr w14:paraId="5524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1465" w:type="pct"/>
            <w:tcBorders>
              <w:top w:val="single" w:color="000000" w:sz="4" w:space="0"/>
              <w:left w:val="nil"/>
              <w:bottom w:val="single" w:color="000000" w:sz="4" w:space="0"/>
              <w:right w:val="nil"/>
            </w:tcBorders>
            <w:shd w:val="clear" w:color="auto" w:fill="auto"/>
            <w:noWrap/>
            <w:vAlign w:val="center"/>
          </w:tcPr>
          <w:p w14:paraId="3FFEA06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基线资料</w:t>
            </w:r>
          </w:p>
        </w:tc>
        <w:tc>
          <w:tcPr>
            <w:tcW w:w="1232" w:type="pct"/>
            <w:tcBorders>
              <w:top w:val="single" w:color="000000" w:sz="4" w:space="0"/>
              <w:left w:val="nil"/>
              <w:bottom w:val="single" w:color="000000" w:sz="4" w:space="0"/>
              <w:right w:val="nil"/>
            </w:tcBorders>
            <w:shd w:val="clear" w:color="auto" w:fill="auto"/>
            <w:vAlign w:val="center"/>
          </w:tcPr>
          <w:p w14:paraId="79C99B7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1"/>
                <w:u w:val="none"/>
              </w:rPr>
            </w:pPr>
            <w:r>
              <w:rPr>
                <w:rFonts w:hint="eastAsia" w:ascii="Times New Roman" w:hAnsi="Times New Roman" w:eastAsia="宋体" w:cs="宋体"/>
                <w:i w:val="0"/>
                <w:iCs w:val="0"/>
                <w:color w:val="auto"/>
                <w:kern w:val="0"/>
                <w:sz w:val="21"/>
                <w:szCs w:val="21"/>
                <w:u w:val="none"/>
                <w:lang w:val="en-US" w:eastAsia="zh-CN" w:bidi="ar"/>
              </w:rPr>
              <w:t>室内步行组（</w:t>
            </w:r>
            <w:r>
              <w:rPr>
                <w:rFonts w:hint="eastAsia" w:ascii="Times New Roman" w:hAnsi="Times New Roman" w:eastAsia="宋体" w:cs="宋体"/>
                <w:i/>
                <w:iCs/>
                <w:color w:val="auto"/>
                <w:kern w:val="0"/>
                <w:sz w:val="21"/>
                <w:szCs w:val="21"/>
                <w:u w:val="none"/>
                <w:lang w:val="en-US" w:eastAsia="zh-CN" w:bidi="ar"/>
              </w:rPr>
              <w:t>n</w:t>
            </w:r>
            <w:r>
              <w:rPr>
                <w:rFonts w:hint="eastAsia" w:ascii="Times New Roman" w:hAnsi="Times New Roman" w:eastAsia="宋体" w:cs="宋体"/>
                <w:i w:val="0"/>
                <w:iCs w:val="0"/>
                <w:color w:val="auto"/>
                <w:kern w:val="0"/>
                <w:sz w:val="21"/>
                <w:szCs w:val="21"/>
                <w:u w:val="none"/>
                <w:lang w:val="en-US" w:eastAsia="zh-CN" w:bidi="ar"/>
              </w:rPr>
              <w:t>=12）</w:t>
            </w:r>
          </w:p>
        </w:tc>
        <w:tc>
          <w:tcPr>
            <w:tcW w:w="1232" w:type="pct"/>
            <w:tcBorders>
              <w:top w:val="single" w:color="000000" w:sz="4" w:space="0"/>
              <w:left w:val="nil"/>
              <w:bottom w:val="single" w:color="000000" w:sz="4" w:space="0"/>
              <w:right w:val="nil"/>
            </w:tcBorders>
            <w:shd w:val="clear" w:color="auto" w:fill="auto"/>
            <w:vAlign w:val="center"/>
          </w:tcPr>
          <w:p w14:paraId="510529D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1"/>
                <w:u w:val="none"/>
              </w:rPr>
            </w:pPr>
            <w:r>
              <w:rPr>
                <w:rFonts w:hint="eastAsia" w:ascii="Times New Roman" w:hAnsi="Times New Roman" w:eastAsia="宋体" w:cs="宋体"/>
                <w:i w:val="0"/>
                <w:iCs w:val="0"/>
                <w:color w:val="auto"/>
                <w:kern w:val="0"/>
                <w:sz w:val="21"/>
                <w:szCs w:val="21"/>
                <w:u w:val="none"/>
                <w:lang w:val="en-US" w:eastAsia="zh-CN" w:bidi="ar"/>
              </w:rPr>
              <w:t>室外步行组（</w:t>
            </w:r>
            <w:r>
              <w:rPr>
                <w:rFonts w:hint="eastAsia" w:ascii="Times New Roman" w:hAnsi="Times New Roman" w:eastAsia="宋体" w:cs="宋体"/>
                <w:i/>
                <w:iCs/>
                <w:color w:val="auto"/>
                <w:kern w:val="0"/>
                <w:sz w:val="21"/>
                <w:szCs w:val="21"/>
                <w:u w:val="none"/>
                <w:lang w:val="en-US" w:eastAsia="zh-CN" w:bidi="ar"/>
              </w:rPr>
              <w:t>n</w:t>
            </w:r>
            <w:r>
              <w:rPr>
                <w:rFonts w:hint="eastAsia" w:ascii="Times New Roman" w:hAnsi="Times New Roman" w:eastAsia="宋体" w:cs="宋体"/>
                <w:i w:val="0"/>
                <w:iCs w:val="0"/>
                <w:color w:val="auto"/>
                <w:kern w:val="0"/>
                <w:sz w:val="21"/>
                <w:szCs w:val="21"/>
                <w:u w:val="none"/>
                <w:lang w:val="en-US" w:eastAsia="zh-CN" w:bidi="ar"/>
              </w:rPr>
              <w:t>=13）</w:t>
            </w:r>
          </w:p>
        </w:tc>
        <w:tc>
          <w:tcPr>
            <w:tcW w:w="630" w:type="pct"/>
            <w:tcBorders>
              <w:top w:val="single" w:color="000000" w:sz="4" w:space="0"/>
              <w:left w:val="nil"/>
              <w:bottom w:val="single" w:color="000000" w:sz="4" w:space="0"/>
              <w:right w:val="nil"/>
            </w:tcBorders>
            <w:shd w:val="clear" w:color="auto" w:fill="auto"/>
            <w:noWrap/>
            <w:vAlign w:val="center"/>
          </w:tcPr>
          <w:p w14:paraId="314E146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统计值</w:t>
            </w:r>
          </w:p>
        </w:tc>
        <w:tc>
          <w:tcPr>
            <w:tcW w:w="439" w:type="pct"/>
            <w:tcBorders>
              <w:top w:val="single" w:color="000000" w:sz="4" w:space="0"/>
              <w:left w:val="nil"/>
              <w:bottom w:val="single" w:color="000000" w:sz="4" w:space="0"/>
              <w:right w:val="nil"/>
            </w:tcBorders>
            <w:shd w:val="clear" w:color="auto" w:fill="auto"/>
            <w:noWrap/>
            <w:vAlign w:val="center"/>
          </w:tcPr>
          <w:p w14:paraId="7B115B7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iCs/>
                <w:color w:val="auto"/>
                <w:sz w:val="21"/>
                <w:szCs w:val="22"/>
                <w:u w:val="none"/>
              </w:rPr>
            </w:pPr>
            <w:r>
              <w:rPr>
                <w:rFonts w:hint="eastAsia" w:ascii="Times New Roman" w:hAnsi="Times New Roman" w:eastAsia="宋体" w:cs="宋体"/>
                <w:i/>
                <w:iCs/>
                <w:color w:val="auto"/>
                <w:kern w:val="0"/>
                <w:sz w:val="21"/>
                <w:szCs w:val="22"/>
                <w:u w:val="none"/>
                <w:lang w:val="en-US" w:eastAsia="zh-CN" w:bidi="ar"/>
              </w:rPr>
              <w:t>P</w:t>
            </w:r>
            <w:r>
              <w:rPr>
                <w:rStyle w:val="25"/>
                <w:rFonts w:ascii="Times New Roman" w:hAnsi="Times New Roman" w:eastAsia="宋体"/>
                <w:color w:val="auto"/>
                <w:sz w:val="21"/>
                <w:lang w:val="en-US" w:eastAsia="zh-CN" w:bidi="ar"/>
              </w:rPr>
              <w:t>值</w:t>
            </w:r>
          </w:p>
        </w:tc>
      </w:tr>
      <w:tr w14:paraId="39A2D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jc w:val="center"/>
        </w:trPr>
        <w:tc>
          <w:tcPr>
            <w:tcW w:w="1465" w:type="pct"/>
            <w:tcBorders>
              <w:top w:val="nil"/>
              <w:left w:val="nil"/>
              <w:bottom w:val="nil"/>
              <w:right w:val="nil"/>
            </w:tcBorders>
            <w:shd w:val="clear" w:color="auto" w:fill="auto"/>
            <w:noWrap/>
            <w:vAlign w:val="center"/>
          </w:tcPr>
          <w:p w14:paraId="2BC63EF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年龄（岁，</w:t>
            </w:r>
            <w:r>
              <w:rPr>
                <w:rFonts w:ascii="Times New Roman" w:hAnsi="Times New Roman" w:eastAsia="宋体"/>
                <w:color w:val="auto"/>
                <w:position w:val="-6"/>
                <w:sz w:val="21"/>
                <w:szCs w:val="21"/>
              </w:rPr>
              <w:object>
                <v:shape id="_x0000_i1026"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26" DrawAspect="Content" ObjectID="_1468075726" r:id="rId6">
                  <o:LockedField>false</o:LockedField>
                </o:OLEObject>
              </w:object>
            </w:r>
            <w:r>
              <w:rPr>
                <w:rFonts w:hint="eastAsia" w:ascii="Times New Roman" w:hAnsi="Times New Roman" w:eastAsia="宋体" w:cs="宋体"/>
                <w:i w:val="0"/>
                <w:iCs w:val="0"/>
                <w:color w:val="auto"/>
                <w:kern w:val="0"/>
                <w:sz w:val="21"/>
                <w:szCs w:val="22"/>
                <w:u w:val="none"/>
                <w:lang w:val="en-US" w:eastAsia="zh-CN" w:bidi="ar"/>
              </w:rPr>
              <w:t>）</w:t>
            </w:r>
          </w:p>
        </w:tc>
        <w:tc>
          <w:tcPr>
            <w:tcW w:w="1232" w:type="pct"/>
            <w:tcBorders>
              <w:top w:val="nil"/>
              <w:left w:val="nil"/>
              <w:bottom w:val="nil"/>
              <w:right w:val="nil"/>
            </w:tcBorders>
            <w:shd w:val="clear" w:color="auto" w:fill="auto"/>
            <w:vAlign w:val="top"/>
          </w:tcPr>
          <w:p w14:paraId="794E142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i w:val="0"/>
                <w:iCs w:val="0"/>
                <w:color w:val="auto"/>
                <w:kern w:val="0"/>
                <w:sz w:val="21"/>
                <w:szCs w:val="22"/>
                <w:u w:val="none"/>
                <w:lang w:val="en-US" w:eastAsia="zh-CN" w:bidi="ar"/>
              </w:rPr>
            </w:pPr>
            <w:r>
              <w:rPr>
                <w:rFonts w:hint="eastAsia" w:ascii="Times New Roman" w:hAnsi="Times New Roman" w:eastAsia="宋体" w:cs="宋体"/>
                <w:i w:val="0"/>
                <w:iCs w:val="0"/>
                <w:color w:val="auto"/>
                <w:kern w:val="0"/>
                <w:sz w:val="21"/>
                <w:szCs w:val="22"/>
                <w:u w:val="none"/>
                <w:lang w:val="en-US" w:eastAsia="zh-CN" w:bidi="ar"/>
              </w:rPr>
              <w:t>51.83±10.80</w:t>
            </w:r>
          </w:p>
        </w:tc>
        <w:tc>
          <w:tcPr>
            <w:tcW w:w="1232" w:type="pct"/>
            <w:tcBorders>
              <w:top w:val="nil"/>
              <w:left w:val="nil"/>
              <w:bottom w:val="nil"/>
              <w:right w:val="nil"/>
            </w:tcBorders>
            <w:shd w:val="clear" w:color="auto" w:fill="auto"/>
            <w:noWrap/>
            <w:vAlign w:val="center"/>
          </w:tcPr>
          <w:p w14:paraId="0019C77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kern w:val="0"/>
                <w:sz w:val="21"/>
                <w:szCs w:val="22"/>
                <w:u w:val="none"/>
                <w:lang w:val="en-US" w:eastAsia="zh-CN" w:bidi="ar"/>
              </w:rPr>
            </w:pPr>
            <w:r>
              <w:rPr>
                <w:rFonts w:hint="eastAsia" w:ascii="Times New Roman" w:hAnsi="Times New Roman" w:eastAsia="宋体" w:cs="宋体"/>
                <w:i w:val="0"/>
                <w:iCs w:val="0"/>
                <w:color w:val="auto"/>
                <w:kern w:val="0"/>
                <w:sz w:val="21"/>
                <w:szCs w:val="22"/>
                <w:u w:val="none"/>
                <w:lang w:val="en-US" w:eastAsia="zh-CN" w:bidi="ar"/>
              </w:rPr>
              <w:t>49.46±13.67</w:t>
            </w:r>
          </w:p>
        </w:tc>
        <w:tc>
          <w:tcPr>
            <w:tcW w:w="630" w:type="pct"/>
            <w:tcBorders>
              <w:top w:val="nil"/>
              <w:left w:val="nil"/>
              <w:bottom w:val="nil"/>
              <w:right w:val="nil"/>
            </w:tcBorders>
            <w:shd w:val="clear" w:color="auto" w:fill="auto"/>
            <w:noWrap/>
            <w:vAlign w:val="center"/>
          </w:tcPr>
          <w:p w14:paraId="385A182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iCs/>
                <w:color w:val="auto"/>
                <w:sz w:val="21"/>
                <w:szCs w:val="22"/>
                <w:u w:val="none"/>
              </w:rPr>
            </w:pPr>
            <w:r>
              <w:rPr>
                <w:rFonts w:hint="eastAsia" w:ascii="Times New Roman" w:hAnsi="Times New Roman" w:eastAsia="宋体" w:cs="宋体"/>
                <w:i/>
                <w:iCs/>
                <w:color w:val="auto"/>
                <w:kern w:val="0"/>
                <w:sz w:val="21"/>
                <w:szCs w:val="22"/>
                <w:u w:val="none"/>
                <w:lang w:val="en-US" w:eastAsia="zh-CN" w:bidi="ar"/>
              </w:rPr>
              <w:t>t</w:t>
            </w:r>
            <w:r>
              <w:rPr>
                <w:rStyle w:val="25"/>
                <w:rFonts w:hint="eastAsia" w:ascii="Times New Roman" w:hAnsi="Times New Roman" w:eastAsia="宋体" w:cs="宋体"/>
                <w:color w:val="auto"/>
                <w:sz w:val="21"/>
                <w:szCs w:val="22"/>
                <w:lang w:val="en-US" w:eastAsia="zh-CN" w:bidi="ar"/>
              </w:rPr>
              <w:t>=0.479</w:t>
            </w:r>
          </w:p>
        </w:tc>
        <w:tc>
          <w:tcPr>
            <w:tcW w:w="439" w:type="pct"/>
            <w:tcBorders>
              <w:top w:val="nil"/>
              <w:left w:val="nil"/>
              <w:bottom w:val="nil"/>
              <w:right w:val="nil"/>
            </w:tcBorders>
            <w:shd w:val="clear" w:color="auto" w:fill="auto"/>
            <w:noWrap/>
            <w:vAlign w:val="center"/>
          </w:tcPr>
          <w:p w14:paraId="0727AA4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0.637</w:t>
            </w:r>
          </w:p>
        </w:tc>
      </w:tr>
      <w:tr w14:paraId="0DA0D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2F24299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性别[例（%）]</w:t>
            </w:r>
          </w:p>
        </w:tc>
        <w:tc>
          <w:tcPr>
            <w:tcW w:w="1232" w:type="pct"/>
            <w:tcBorders>
              <w:top w:val="nil"/>
              <w:left w:val="nil"/>
              <w:bottom w:val="nil"/>
              <w:right w:val="nil"/>
            </w:tcBorders>
            <w:shd w:val="clear" w:color="auto" w:fill="auto"/>
            <w:noWrap/>
            <w:vAlign w:val="center"/>
          </w:tcPr>
          <w:p w14:paraId="4E5505E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1232" w:type="pct"/>
            <w:tcBorders>
              <w:top w:val="nil"/>
              <w:left w:val="nil"/>
              <w:bottom w:val="nil"/>
              <w:right w:val="nil"/>
            </w:tcBorders>
            <w:shd w:val="clear" w:color="auto" w:fill="auto"/>
            <w:noWrap/>
            <w:vAlign w:val="center"/>
          </w:tcPr>
          <w:p w14:paraId="3DFAF407">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630" w:type="pct"/>
            <w:tcBorders>
              <w:top w:val="nil"/>
              <w:left w:val="nil"/>
              <w:bottom w:val="nil"/>
              <w:right w:val="nil"/>
            </w:tcBorders>
            <w:shd w:val="clear" w:color="auto" w:fill="auto"/>
            <w:noWrap/>
            <w:vAlign w:val="center"/>
          </w:tcPr>
          <w:p w14:paraId="1D4715D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lang w:val="en-US" w:eastAsia="zh-CN"/>
              </w:rPr>
            </w:pPr>
            <w:r>
              <w:rPr>
                <w:rFonts w:hint="eastAsia" w:ascii="Times New Roman" w:hAnsi="Times New Roman" w:eastAsia="宋体" w:cs="宋体"/>
                <w:i w:val="0"/>
                <w:iCs w:val="0"/>
                <w:color w:val="auto"/>
                <w:sz w:val="21"/>
                <w:szCs w:val="22"/>
                <w:u w:val="none"/>
                <w:lang w:val="en-US" w:eastAsia="zh-CN"/>
              </w:rPr>
              <w:t>-</w:t>
            </w:r>
          </w:p>
        </w:tc>
        <w:tc>
          <w:tcPr>
            <w:tcW w:w="439" w:type="pct"/>
            <w:tcBorders>
              <w:top w:val="nil"/>
              <w:left w:val="nil"/>
              <w:bottom w:val="nil"/>
              <w:right w:val="nil"/>
            </w:tcBorders>
            <w:shd w:val="clear" w:color="auto" w:fill="auto"/>
            <w:noWrap/>
            <w:vAlign w:val="center"/>
          </w:tcPr>
          <w:p w14:paraId="651AAAC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0.096</w:t>
            </w:r>
            <w:r>
              <w:rPr>
                <w:rFonts w:hint="eastAsia" w:ascii="Times New Roman" w:hAnsi="Times New Roman" w:eastAsia="宋体" w:cs="宋体"/>
                <w:i w:val="0"/>
                <w:iCs w:val="0"/>
                <w:color w:val="auto"/>
                <w:kern w:val="0"/>
                <w:sz w:val="21"/>
                <w:szCs w:val="22"/>
                <w:u w:val="none"/>
                <w:vertAlign w:val="superscript"/>
                <w:lang w:val="en-US" w:eastAsia="zh-CN" w:bidi="ar"/>
              </w:rPr>
              <w:t>*</w:t>
            </w:r>
          </w:p>
        </w:tc>
      </w:tr>
      <w:tr w14:paraId="06811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27A89EE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男</w:t>
            </w:r>
          </w:p>
        </w:tc>
        <w:tc>
          <w:tcPr>
            <w:tcW w:w="1232" w:type="pct"/>
            <w:tcBorders>
              <w:top w:val="nil"/>
              <w:left w:val="nil"/>
              <w:bottom w:val="nil"/>
              <w:right w:val="nil"/>
            </w:tcBorders>
            <w:shd w:val="clear" w:color="auto" w:fill="auto"/>
            <w:noWrap/>
            <w:vAlign w:val="center"/>
          </w:tcPr>
          <w:p w14:paraId="104FD34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12（100.00）</w:t>
            </w:r>
          </w:p>
        </w:tc>
        <w:tc>
          <w:tcPr>
            <w:tcW w:w="1232" w:type="pct"/>
            <w:tcBorders>
              <w:top w:val="nil"/>
              <w:left w:val="nil"/>
              <w:bottom w:val="nil"/>
              <w:right w:val="nil"/>
            </w:tcBorders>
            <w:shd w:val="clear" w:color="auto" w:fill="auto"/>
            <w:noWrap/>
            <w:vAlign w:val="center"/>
          </w:tcPr>
          <w:p w14:paraId="56C01D2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9（69.23）</w:t>
            </w:r>
          </w:p>
        </w:tc>
        <w:tc>
          <w:tcPr>
            <w:tcW w:w="630" w:type="pct"/>
            <w:tcBorders>
              <w:top w:val="nil"/>
              <w:left w:val="nil"/>
              <w:bottom w:val="nil"/>
              <w:right w:val="nil"/>
            </w:tcBorders>
            <w:shd w:val="clear" w:color="auto" w:fill="auto"/>
            <w:noWrap/>
            <w:vAlign w:val="center"/>
          </w:tcPr>
          <w:p w14:paraId="17EFC88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76FFDDA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7552A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79645A7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女</w:t>
            </w:r>
          </w:p>
        </w:tc>
        <w:tc>
          <w:tcPr>
            <w:tcW w:w="1232" w:type="pct"/>
            <w:tcBorders>
              <w:top w:val="nil"/>
              <w:left w:val="nil"/>
              <w:bottom w:val="nil"/>
              <w:right w:val="nil"/>
            </w:tcBorders>
            <w:shd w:val="clear" w:color="auto" w:fill="auto"/>
            <w:noWrap/>
            <w:vAlign w:val="center"/>
          </w:tcPr>
          <w:p w14:paraId="71D7939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0（0）</w:t>
            </w:r>
          </w:p>
        </w:tc>
        <w:tc>
          <w:tcPr>
            <w:tcW w:w="1232" w:type="pct"/>
            <w:tcBorders>
              <w:top w:val="nil"/>
              <w:left w:val="nil"/>
              <w:bottom w:val="nil"/>
              <w:right w:val="nil"/>
            </w:tcBorders>
            <w:shd w:val="clear" w:color="auto" w:fill="auto"/>
            <w:noWrap/>
            <w:vAlign w:val="center"/>
          </w:tcPr>
          <w:p w14:paraId="6CD32F8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4（30.77）</w:t>
            </w:r>
          </w:p>
        </w:tc>
        <w:tc>
          <w:tcPr>
            <w:tcW w:w="630" w:type="pct"/>
            <w:tcBorders>
              <w:top w:val="nil"/>
              <w:left w:val="nil"/>
              <w:bottom w:val="nil"/>
              <w:right w:val="nil"/>
            </w:tcBorders>
            <w:shd w:val="clear" w:color="auto" w:fill="auto"/>
            <w:noWrap/>
            <w:vAlign w:val="center"/>
          </w:tcPr>
          <w:p w14:paraId="62F41EF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216A78F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646FD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423924E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2"/>
                <w:u w:val="none"/>
              </w:rPr>
            </w:pPr>
            <w:r>
              <w:rPr>
                <w:rFonts w:hint="default" w:ascii="Times New Roman" w:hAnsi="Times New Roman" w:eastAsia="宋体" w:cs="Times New Roman"/>
                <w:i w:val="0"/>
                <w:iCs w:val="0"/>
                <w:color w:val="auto"/>
                <w:kern w:val="0"/>
                <w:sz w:val="21"/>
                <w:szCs w:val="22"/>
                <w:u w:val="none"/>
                <w:lang w:val="en-US" w:eastAsia="zh-CN" w:bidi="ar"/>
              </w:rPr>
              <w:t>身高（cm，</w:t>
            </w:r>
            <w:r>
              <w:rPr>
                <w:rFonts w:ascii="Times New Roman" w:hAnsi="Times New Roman" w:eastAsia="宋体"/>
                <w:color w:val="auto"/>
                <w:position w:val="-6"/>
                <w:sz w:val="21"/>
                <w:szCs w:val="21"/>
              </w:rPr>
              <w:object>
                <v:shape id="_x0000_i1027"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27" DrawAspect="Content" ObjectID="_1468075727" r:id="rId7">
                  <o:LockedField>false</o:LockedField>
                </o:OLEObject>
              </w:object>
            </w:r>
            <w:r>
              <w:rPr>
                <w:rFonts w:hint="default" w:ascii="Times New Roman" w:hAnsi="Times New Roman" w:eastAsia="宋体" w:cs="Times New Roman"/>
                <w:i w:val="0"/>
                <w:iCs w:val="0"/>
                <w:color w:val="auto"/>
                <w:kern w:val="0"/>
                <w:sz w:val="21"/>
                <w:szCs w:val="22"/>
                <w:u w:val="none"/>
                <w:lang w:val="en-US" w:eastAsia="zh-CN" w:bidi="ar"/>
              </w:rPr>
              <w:t>）</w:t>
            </w:r>
          </w:p>
        </w:tc>
        <w:tc>
          <w:tcPr>
            <w:tcW w:w="1232" w:type="pct"/>
            <w:tcBorders>
              <w:top w:val="nil"/>
              <w:left w:val="nil"/>
              <w:bottom w:val="nil"/>
              <w:right w:val="nil"/>
            </w:tcBorders>
            <w:shd w:val="clear" w:color="auto" w:fill="auto"/>
            <w:noWrap/>
            <w:vAlign w:val="center"/>
          </w:tcPr>
          <w:p w14:paraId="5A31F3F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171.33±6.64</w:t>
            </w:r>
          </w:p>
        </w:tc>
        <w:tc>
          <w:tcPr>
            <w:tcW w:w="1232" w:type="pct"/>
            <w:tcBorders>
              <w:top w:val="nil"/>
              <w:left w:val="nil"/>
              <w:bottom w:val="nil"/>
              <w:right w:val="nil"/>
            </w:tcBorders>
            <w:shd w:val="clear" w:color="auto" w:fill="auto"/>
            <w:noWrap/>
            <w:vAlign w:val="center"/>
          </w:tcPr>
          <w:p w14:paraId="5BFA197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167.23±6.44</w:t>
            </w:r>
          </w:p>
        </w:tc>
        <w:tc>
          <w:tcPr>
            <w:tcW w:w="630" w:type="pct"/>
            <w:tcBorders>
              <w:top w:val="nil"/>
              <w:left w:val="nil"/>
              <w:bottom w:val="nil"/>
              <w:right w:val="nil"/>
            </w:tcBorders>
            <w:shd w:val="clear" w:color="auto" w:fill="auto"/>
            <w:noWrap/>
            <w:vAlign w:val="center"/>
          </w:tcPr>
          <w:p w14:paraId="0C053F2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iCs/>
                <w:color w:val="auto"/>
                <w:kern w:val="0"/>
                <w:sz w:val="21"/>
                <w:szCs w:val="22"/>
                <w:u w:val="none"/>
                <w:lang w:val="en-US" w:eastAsia="zh-CN" w:bidi="ar"/>
              </w:rPr>
              <w:t>t</w:t>
            </w:r>
            <w:r>
              <w:rPr>
                <w:rFonts w:hint="eastAsia" w:ascii="Times New Roman" w:hAnsi="Times New Roman" w:eastAsia="宋体" w:cs="宋体"/>
                <w:i w:val="0"/>
                <w:iCs w:val="0"/>
                <w:color w:val="auto"/>
                <w:kern w:val="0"/>
                <w:sz w:val="21"/>
                <w:szCs w:val="22"/>
                <w:u w:val="none"/>
                <w:lang w:val="en-US" w:eastAsia="zh-CN" w:bidi="ar"/>
              </w:rPr>
              <w:t>=1.568</w:t>
            </w:r>
          </w:p>
        </w:tc>
        <w:tc>
          <w:tcPr>
            <w:tcW w:w="439" w:type="pct"/>
            <w:tcBorders>
              <w:top w:val="nil"/>
              <w:left w:val="nil"/>
              <w:bottom w:val="nil"/>
              <w:right w:val="nil"/>
            </w:tcBorders>
            <w:shd w:val="clear" w:color="auto" w:fill="auto"/>
            <w:noWrap/>
            <w:vAlign w:val="center"/>
          </w:tcPr>
          <w:p w14:paraId="4E30BED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0.131</w:t>
            </w:r>
          </w:p>
        </w:tc>
      </w:tr>
      <w:tr w14:paraId="53FD0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69FB4B2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2"/>
                <w:u w:val="none"/>
              </w:rPr>
            </w:pPr>
            <w:r>
              <w:rPr>
                <w:rFonts w:hint="default" w:ascii="Times New Roman" w:hAnsi="Times New Roman" w:eastAsia="宋体" w:cs="Times New Roman"/>
                <w:i w:val="0"/>
                <w:iCs w:val="0"/>
                <w:color w:val="auto"/>
                <w:kern w:val="0"/>
                <w:sz w:val="21"/>
                <w:szCs w:val="22"/>
                <w:u w:val="none"/>
                <w:lang w:val="en-US" w:eastAsia="zh-CN" w:bidi="ar"/>
              </w:rPr>
              <w:t>体</w:t>
            </w:r>
            <w:r>
              <w:rPr>
                <w:rFonts w:hint="eastAsia" w:ascii="Times New Roman" w:hAnsi="Times New Roman" w:eastAsia="宋体" w:cs="Times New Roman"/>
                <w:i w:val="0"/>
                <w:iCs w:val="0"/>
                <w:color w:val="auto"/>
                <w:kern w:val="0"/>
                <w:sz w:val="21"/>
                <w:szCs w:val="22"/>
                <w:u w:val="none"/>
                <w:lang w:val="en-US" w:eastAsia="zh-CN" w:bidi="ar"/>
              </w:rPr>
              <w:t>质量</w:t>
            </w:r>
            <w:r>
              <w:rPr>
                <w:rFonts w:hint="default" w:ascii="Times New Roman" w:hAnsi="Times New Roman" w:eastAsia="宋体" w:cs="Times New Roman"/>
                <w:i w:val="0"/>
                <w:iCs w:val="0"/>
                <w:color w:val="auto"/>
                <w:kern w:val="0"/>
                <w:sz w:val="21"/>
                <w:szCs w:val="22"/>
                <w:u w:val="none"/>
                <w:lang w:val="en-US" w:eastAsia="zh-CN" w:bidi="ar"/>
              </w:rPr>
              <w:t>（kg，</w:t>
            </w:r>
            <w:r>
              <w:rPr>
                <w:rFonts w:ascii="Times New Roman" w:hAnsi="Times New Roman" w:eastAsia="宋体"/>
                <w:color w:val="auto"/>
                <w:position w:val="-6"/>
                <w:sz w:val="21"/>
                <w:szCs w:val="21"/>
              </w:rPr>
              <w:object>
                <v:shape id="_x0000_i1028"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28" DrawAspect="Content" ObjectID="_1468075728" r:id="rId8">
                  <o:LockedField>false</o:LockedField>
                </o:OLEObject>
              </w:object>
            </w:r>
            <w:r>
              <w:rPr>
                <w:rFonts w:hint="default" w:ascii="Times New Roman" w:hAnsi="Times New Roman" w:eastAsia="宋体" w:cs="Times New Roman"/>
                <w:i w:val="0"/>
                <w:iCs w:val="0"/>
                <w:color w:val="auto"/>
                <w:kern w:val="0"/>
                <w:sz w:val="21"/>
                <w:szCs w:val="22"/>
                <w:u w:val="none"/>
                <w:lang w:val="en-US" w:eastAsia="zh-CN" w:bidi="ar"/>
              </w:rPr>
              <w:t>）</w:t>
            </w:r>
          </w:p>
        </w:tc>
        <w:tc>
          <w:tcPr>
            <w:tcW w:w="1232" w:type="pct"/>
            <w:tcBorders>
              <w:top w:val="nil"/>
              <w:left w:val="nil"/>
              <w:bottom w:val="nil"/>
              <w:right w:val="nil"/>
            </w:tcBorders>
            <w:shd w:val="clear" w:color="auto" w:fill="auto"/>
            <w:noWrap/>
            <w:vAlign w:val="center"/>
          </w:tcPr>
          <w:p w14:paraId="178B5A7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76.67±14.71</w:t>
            </w:r>
          </w:p>
        </w:tc>
        <w:tc>
          <w:tcPr>
            <w:tcW w:w="1232" w:type="pct"/>
            <w:tcBorders>
              <w:top w:val="nil"/>
              <w:left w:val="nil"/>
              <w:bottom w:val="nil"/>
              <w:right w:val="nil"/>
            </w:tcBorders>
            <w:shd w:val="clear" w:color="auto" w:fill="auto"/>
            <w:noWrap/>
            <w:vAlign w:val="center"/>
          </w:tcPr>
          <w:p w14:paraId="24711BC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i w:val="0"/>
                <w:iCs w:val="0"/>
                <w:color w:val="auto"/>
                <w:sz w:val="21"/>
                <w:szCs w:val="22"/>
                <w:u w:val="none"/>
                <w:lang w:val="en-US"/>
              </w:rPr>
            </w:pPr>
            <w:r>
              <w:rPr>
                <w:rFonts w:hint="eastAsia" w:ascii="Times New Roman" w:hAnsi="Times New Roman" w:eastAsia="宋体" w:cs="宋体"/>
                <w:i w:val="0"/>
                <w:iCs w:val="0"/>
                <w:color w:val="auto"/>
                <w:kern w:val="0"/>
                <w:sz w:val="21"/>
                <w:szCs w:val="22"/>
                <w:u w:val="none"/>
                <w:lang w:val="en-US" w:eastAsia="zh-CN" w:bidi="ar"/>
              </w:rPr>
              <w:t>72</w:t>
            </w:r>
            <w:r>
              <w:rPr>
                <w:rFonts w:hint="eastAsia" w:ascii="Times New Roman" w:hAnsi="Times New Roman" w:eastAsia="宋体"/>
                <w:lang w:val="en-US" w:eastAsia="zh-CN"/>
              </w:rPr>
              <w:t>.00</w:t>
            </w:r>
            <w:r>
              <w:rPr>
                <w:rFonts w:hint="eastAsia" w:ascii="Times New Roman" w:hAnsi="Times New Roman" w:eastAsia="宋体" w:cs="宋体"/>
                <w:i w:val="0"/>
                <w:iCs w:val="0"/>
                <w:color w:val="auto"/>
                <w:kern w:val="0"/>
                <w:sz w:val="21"/>
                <w:szCs w:val="22"/>
                <w:u w:val="none"/>
                <w:lang w:val="en-US" w:eastAsia="zh-CN" w:bidi="ar"/>
              </w:rPr>
              <w:t>±10.20</w:t>
            </w:r>
          </w:p>
        </w:tc>
        <w:tc>
          <w:tcPr>
            <w:tcW w:w="630" w:type="pct"/>
            <w:tcBorders>
              <w:top w:val="nil"/>
              <w:left w:val="nil"/>
              <w:bottom w:val="nil"/>
              <w:right w:val="nil"/>
            </w:tcBorders>
            <w:shd w:val="clear" w:color="auto" w:fill="auto"/>
            <w:noWrap/>
            <w:vAlign w:val="center"/>
          </w:tcPr>
          <w:p w14:paraId="4BA843F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iCs/>
                <w:color w:val="auto"/>
                <w:kern w:val="0"/>
                <w:sz w:val="21"/>
                <w:szCs w:val="22"/>
                <w:u w:val="none"/>
                <w:lang w:val="en-US" w:eastAsia="zh-CN" w:bidi="ar"/>
              </w:rPr>
              <w:t>t</w:t>
            </w:r>
            <w:r>
              <w:rPr>
                <w:rFonts w:hint="eastAsia" w:ascii="Times New Roman" w:hAnsi="Times New Roman" w:eastAsia="宋体" w:cs="宋体"/>
                <w:i w:val="0"/>
                <w:iCs w:val="0"/>
                <w:color w:val="auto"/>
                <w:kern w:val="0"/>
                <w:sz w:val="21"/>
                <w:szCs w:val="22"/>
                <w:u w:val="none"/>
                <w:lang w:val="en-US" w:eastAsia="zh-CN" w:bidi="ar"/>
              </w:rPr>
              <w:t>=0.928</w:t>
            </w:r>
          </w:p>
        </w:tc>
        <w:tc>
          <w:tcPr>
            <w:tcW w:w="439" w:type="pct"/>
            <w:tcBorders>
              <w:top w:val="nil"/>
              <w:left w:val="nil"/>
              <w:bottom w:val="nil"/>
              <w:right w:val="nil"/>
            </w:tcBorders>
            <w:shd w:val="clear" w:color="auto" w:fill="auto"/>
            <w:noWrap/>
            <w:vAlign w:val="center"/>
          </w:tcPr>
          <w:p w14:paraId="45A17AB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0.363</w:t>
            </w:r>
          </w:p>
        </w:tc>
      </w:tr>
      <w:tr w14:paraId="4EF75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0CA8426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2"/>
                <w:u w:val="none"/>
              </w:rPr>
            </w:pPr>
            <w:r>
              <w:rPr>
                <w:rFonts w:hint="default" w:ascii="Times New Roman" w:hAnsi="Times New Roman" w:eastAsia="宋体" w:cs="Times New Roman"/>
                <w:i w:val="0"/>
                <w:iCs w:val="0"/>
                <w:color w:val="auto"/>
                <w:kern w:val="0"/>
                <w:sz w:val="21"/>
                <w:szCs w:val="22"/>
                <w:u w:val="none"/>
                <w:lang w:val="en-US" w:eastAsia="zh-CN" w:bidi="ar"/>
              </w:rPr>
              <w:t>病程（d，</w:t>
            </w:r>
            <w:r>
              <w:rPr>
                <w:rFonts w:ascii="Times New Roman" w:hAnsi="Times New Roman" w:eastAsia="宋体"/>
                <w:color w:val="auto"/>
                <w:position w:val="-6"/>
                <w:sz w:val="21"/>
                <w:szCs w:val="21"/>
              </w:rPr>
              <w:object>
                <v:shape id="_x0000_i1029"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29" DrawAspect="Content" ObjectID="_1468075729" r:id="rId9">
                  <o:LockedField>false</o:LockedField>
                </o:OLEObject>
              </w:object>
            </w:r>
            <w:r>
              <w:rPr>
                <w:rFonts w:hint="default" w:ascii="Times New Roman" w:hAnsi="Times New Roman" w:eastAsia="宋体" w:cs="Times New Roman"/>
                <w:i w:val="0"/>
                <w:iCs w:val="0"/>
                <w:color w:val="auto"/>
                <w:kern w:val="0"/>
                <w:sz w:val="21"/>
                <w:szCs w:val="22"/>
                <w:u w:val="none"/>
                <w:lang w:val="en-US" w:eastAsia="zh-CN" w:bidi="ar"/>
              </w:rPr>
              <w:t>）</w:t>
            </w:r>
          </w:p>
        </w:tc>
        <w:tc>
          <w:tcPr>
            <w:tcW w:w="1232" w:type="pct"/>
            <w:tcBorders>
              <w:top w:val="nil"/>
              <w:left w:val="nil"/>
              <w:bottom w:val="nil"/>
              <w:right w:val="nil"/>
            </w:tcBorders>
            <w:shd w:val="clear" w:color="auto" w:fill="auto"/>
            <w:noWrap/>
            <w:vAlign w:val="center"/>
          </w:tcPr>
          <w:p w14:paraId="34ECBFB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48.08±21.26</w:t>
            </w:r>
          </w:p>
        </w:tc>
        <w:tc>
          <w:tcPr>
            <w:tcW w:w="1232" w:type="pct"/>
            <w:tcBorders>
              <w:top w:val="nil"/>
              <w:left w:val="nil"/>
              <w:bottom w:val="nil"/>
              <w:right w:val="nil"/>
            </w:tcBorders>
            <w:shd w:val="clear" w:color="auto" w:fill="auto"/>
            <w:noWrap/>
            <w:vAlign w:val="center"/>
          </w:tcPr>
          <w:p w14:paraId="0012180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35.85±16.38</w:t>
            </w:r>
          </w:p>
        </w:tc>
        <w:tc>
          <w:tcPr>
            <w:tcW w:w="630" w:type="pct"/>
            <w:tcBorders>
              <w:top w:val="nil"/>
              <w:left w:val="nil"/>
              <w:bottom w:val="nil"/>
              <w:right w:val="nil"/>
            </w:tcBorders>
            <w:shd w:val="clear" w:color="auto" w:fill="auto"/>
            <w:noWrap/>
            <w:vAlign w:val="center"/>
          </w:tcPr>
          <w:p w14:paraId="105A1B9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lang w:val="en-US" w:eastAsia="zh-CN"/>
              </w:rPr>
            </w:pPr>
            <w:r>
              <w:rPr>
                <w:rFonts w:hint="eastAsia" w:ascii="Times New Roman" w:hAnsi="Times New Roman" w:eastAsia="宋体" w:cs="宋体"/>
                <w:i/>
                <w:iCs/>
                <w:color w:val="auto"/>
                <w:kern w:val="0"/>
                <w:sz w:val="21"/>
                <w:szCs w:val="22"/>
                <w:highlight w:val="none"/>
                <w:u w:val="none"/>
                <w:lang w:val="en-US" w:eastAsia="zh-CN" w:bidi="ar"/>
              </w:rPr>
              <w:t>t</w:t>
            </w:r>
            <w:r>
              <w:rPr>
                <w:rFonts w:hint="eastAsia" w:ascii="Times New Roman" w:hAnsi="Times New Roman" w:eastAsia="宋体" w:cs="宋体"/>
                <w:i w:val="0"/>
                <w:iCs w:val="0"/>
                <w:color w:val="auto"/>
                <w:kern w:val="0"/>
                <w:sz w:val="21"/>
                <w:szCs w:val="22"/>
                <w:highlight w:val="none"/>
                <w:u w:val="none"/>
                <w:lang w:val="en-US" w:eastAsia="zh-CN" w:bidi="ar"/>
              </w:rPr>
              <w:t>=1.62</w:t>
            </w:r>
            <w:r>
              <w:rPr>
                <w:rFonts w:hint="eastAsia" w:ascii="Times New Roman" w:hAnsi="Times New Roman" w:eastAsia="宋体"/>
                <w:lang w:val="en-US" w:eastAsia="zh-CN"/>
              </w:rPr>
              <w:t>0</w:t>
            </w:r>
          </w:p>
        </w:tc>
        <w:tc>
          <w:tcPr>
            <w:tcW w:w="439" w:type="pct"/>
            <w:tcBorders>
              <w:top w:val="nil"/>
              <w:left w:val="nil"/>
              <w:bottom w:val="nil"/>
              <w:right w:val="nil"/>
            </w:tcBorders>
            <w:shd w:val="clear" w:color="auto" w:fill="auto"/>
            <w:noWrap/>
            <w:vAlign w:val="center"/>
          </w:tcPr>
          <w:p w14:paraId="54D18B9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i w:val="0"/>
                <w:iCs w:val="0"/>
                <w:color w:val="auto"/>
                <w:sz w:val="21"/>
                <w:szCs w:val="22"/>
                <w:u w:val="none"/>
                <w:lang w:val="en-US"/>
              </w:rPr>
            </w:pPr>
            <w:r>
              <w:rPr>
                <w:rFonts w:hint="eastAsia" w:ascii="Times New Roman" w:hAnsi="Times New Roman" w:eastAsia="宋体" w:cs="宋体"/>
                <w:i w:val="0"/>
                <w:iCs w:val="0"/>
                <w:color w:val="auto"/>
                <w:kern w:val="0"/>
                <w:sz w:val="21"/>
                <w:szCs w:val="22"/>
                <w:highlight w:val="none"/>
                <w:u w:val="none"/>
                <w:lang w:val="en-US" w:eastAsia="zh-CN" w:bidi="ar"/>
              </w:rPr>
              <w:t>0.119</w:t>
            </w:r>
          </w:p>
        </w:tc>
      </w:tr>
      <w:tr w14:paraId="15576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282090E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2"/>
                <w:u w:val="none"/>
              </w:rPr>
            </w:pPr>
            <w:r>
              <w:rPr>
                <w:rFonts w:hint="default" w:ascii="Times New Roman" w:hAnsi="Times New Roman" w:eastAsia="宋体" w:cs="Times New Roman"/>
                <w:i w:val="0"/>
                <w:iCs w:val="0"/>
                <w:color w:val="auto"/>
                <w:kern w:val="0"/>
                <w:sz w:val="21"/>
                <w:szCs w:val="22"/>
                <w:u w:val="none"/>
                <w:lang w:val="en-US" w:eastAsia="zh-CN" w:bidi="ar"/>
              </w:rPr>
              <w:t>卒中类型[例（%）]</w:t>
            </w:r>
          </w:p>
        </w:tc>
        <w:tc>
          <w:tcPr>
            <w:tcW w:w="1232" w:type="pct"/>
            <w:tcBorders>
              <w:top w:val="nil"/>
              <w:left w:val="nil"/>
              <w:bottom w:val="nil"/>
              <w:right w:val="nil"/>
            </w:tcBorders>
            <w:shd w:val="clear" w:color="auto" w:fill="auto"/>
            <w:noWrap/>
            <w:vAlign w:val="center"/>
          </w:tcPr>
          <w:p w14:paraId="25EAB13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1232" w:type="pct"/>
            <w:tcBorders>
              <w:top w:val="nil"/>
              <w:left w:val="nil"/>
              <w:bottom w:val="nil"/>
              <w:right w:val="nil"/>
            </w:tcBorders>
            <w:shd w:val="clear" w:color="auto" w:fill="auto"/>
            <w:noWrap/>
            <w:vAlign w:val="center"/>
          </w:tcPr>
          <w:p w14:paraId="42BAE55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630" w:type="pct"/>
            <w:tcBorders>
              <w:top w:val="nil"/>
              <w:left w:val="nil"/>
              <w:bottom w:val="nil"/>
              <w:right w:val="nil"/>
            </w:tcBorders>
            <w:shd w:val="clear" w:color="auto" w:fill="auto"/>
            <w:noWrap/>
            <w:vAlign w:val="center"/>
          </w:tcPr>
          <w:p w14:paraId="127BA7E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iCs/>
                <w:color w:val="auto"/>
                <w:kern w:val="0"/>
                <w:sz w:val="21"/>
                <w:szCs w:val="22"/>
                <w:u w:val="none"/>
                <w:lang w:val="en-US" w:eastAsia="zh-CN" w:bidi="ar"/>
              </w:rPr>
              <w:t>χ</w:t>
            </w:r>
            <w:r>
              <w:rPr>
                <w:rFonts w:hint="eastAsia" w:ascii="Times New Roman" w:hAnsi="Times New Roman" w:eastAsia="宋体" w:cs="宋体"/>
                <w:i/>
                <w:iCs/>
                <w:color w:val="auto"/>
                <w:kern w:val="0"/>
                <w:sz w:val="21"/>
                <w:szCs w:val="22"/>
                <w:u w:val="none"/>
                <w:vertAlign w:val="superscript"/>
                <w:lang w:val="en-US" w:eastAsia="zh-CN" w:bidi="ar"/>
              </w:rPr>
              <w:t>2</w:t>
            </w:r>
            <w:r>
              <w:rPr>
                <w:rFonts w:hint="eastAsia" w:ascii="Times New Roman" w:hAnsi="Times New Roman" w:eastAsia="宋体" w:cs="宋体"/>
                <w:i w:val="0"/>
                <w:iCs w:val="0"/>
                <w:color w:val="auto"/>
                <w:kern w:val="0"/>
                <w:sz w:val="21"/>
                <w:szCs w:val="22"/>
                <w:u w:val="none"/>
                <w:lang w:val="en-US" w:eastAsia="zh-CN" w:bidi="ar"/>
              </w:rPr>
              <w:t>=0.811</w:t>
            </w:r>
          </w:p>
        </w:tc>
        <w:tc>
          <w:tcPr>
            <w:tcW w:w="439" w:type="pct"/>
            <w:tcBorders>
              <w:top w:val="nil"/>
              <w:left w:val="nil"/>
              <w:bottom w:val="nil"/>
              <w:right w:val="nil"/>
            </w:tcBorders>
            <w:shd w:val="clear" w:color="auto" w:fill="auto"/>
            <w:noWrap/>
            <w:vAlign w:val="center"/>
          </w:tcPr>
          <w:p w14:paraId="639C6AF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0.368</w:t>
            </w:r>
          </w:p>
        </w:tc>
      </w:tr>
      <w:tr w14:paraId="06175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789467A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2"/>
                <w:u w:val="none"/>
              </w:rPr>
            </w:pPr>
            <w:r>
              <w:rPr>
                <w:rFonts w:hint="default" w:ascii="Times New Roman" w:hAnsi="Times New Roman" w:eastAsia="宋体" w:cs="Times New Roman"/>
                <w:i w:val="0"/>
                <w:iCs w:val="0"/>
                <w:color w:val="auto"/>
                <w:kern w:val="0"/>
                <w:sz w:val="21"/>
                <w:szCs w:val="22"/>
                <w:u w:val="none"/>
                <w:lang w:val="en-US" w:eastAsia="zh-CN" w:bidi="ar"/>
              </w:rPr>
              <w:t>出血</w:t>
            </w:r>
          </w:p>
        </w:tc>
        <w:tc>
          <w:tcPr>
            <w:tcW w:w="1232" w:type="pct"/>
            <w:tcBorders>
              <w:top w:val="nil"/>
              <w:left w:val="nil"/>
              <w:bottom w:val="nil"/>
              <w:right w:val="nil"/>
            </w:tcBorders>
            <w:shd w:val="clear" w:color="auto" w:fill="auto"/>
            <w:noWrap/>
            <w:vAlign w:val="center"/>
          </w:tcPr>
          <w:p w14:paraId="6D2CD81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1（8.33）</w:t>
            </w:r>
          </w:p>
        </w:tc>
        <w:tc>
          <w:tcPr>
            <w:tcW w:w="1232" w:type="pct"/>
            <w:tcBorders>
              <w:top w:val="nil"/>
              <w:left w:val="nil"/>
              <w:bottom w:val="nil"/>
              <w:right w:val="nil"/>
            </w:tcBorders>
            <w:shd w:val="clear" w:color="auto" w:fill="auto"/>
            <w:noWrap/>
            <w:vAlign w:val="center"/>
          </w:tcPr>
          <w:p w14:paraId="593AE1B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4（30.77）</w:t>
            </w:r>
          </w:p>
        </w:tc>
        <w:tc>
          <w:tcPr>
            <w:tcW w:w="630" w:type="pct"/>
            <w:tcBorders>
              <w:top w:val="nil"/>
              <w:left w:val="nil"/>
              <w:bottom w:val="nil"/>
              <w:right w:val="nil"/>
            </w:tcBorders>
            <w:shd w:val="clear" w:color="auto" w:fill="auto"/>
            <w:noWrap/>
            <w:vAlign w:val="center"/>
          </w:tcPr>
          <w:p w14:paraId="0EAE93F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29BF208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73AAC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465" w:type="pct"/>
            <w:tcBorders>
              <w:top w:val="nil"/>
              <w:left w:val="nil"/>
              <w:bottom w:val="nil"/>
              <w:right w:val="nil"/>
            </w:tcBorders>
            <w:shd w:val="clear" w:color="auto" w:fill="auto"/>
            <w:noWrap/>
            <w:vAlign w:val="center"/>
          </w:tcPr>
          <w:p w14:paraId="65824B8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梗死</w:t>
            </w:r>
          </w:p>
        </w:tc>
        <w:tc>
          <w:tcPr>
            <w:tcW w:w="1232" w:type="pct"/>
            <w:tcBorders>
              <w:top w:val="nil"/>
              <w:left w:val="nil"/>
              <w:bottom w:val="nil"/>
              <w:right w:val="nil"/>
            </w:tcBorders>
            <w:shd w:val="clear" w:color="auto" w:fill="auto"/>
            <w:noWrap/>
            <w:vAlign w:val="center"/>
          </w:tcPr>
          <w:p w14:paraId="5C5E1F3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11（91.67）</w:t>
            </w:r>
          </w:p>
        </w:tc>
        <w:tc>
          <w:tcPr>
            <w:tcW w:w="1232" w:type="pct"/>
            <w:tcBorders>
              <w:top w:val="nil"/>
              <w:left w:val="nil"/>
              <w:bottom w:val="nil"/>
              <w:right w:val="nil"/>
            </w:tcBorders>
            <w:shd w:val="clear" w:color="auto" w:fill="auto"/>
            <w:noWrap/>
            <w:vAlign w:val="center"/>
          </w:tcPr>
          <w:p w14:paraId="0EFE165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9（69.23）</w:t>
            </w:r>
          </w:p>
        </w:tc>
        <w:tc>
          <w:tcPr>
            <w:tcW w:w="630" w:type="pct"/>
            <w:tcBorders>
              <w:top w:val="nil"/>
              <w:left w:val="nil"/>
              <w:bottom w:val="nil"/>
              <w:right w:val="nil"/>
            </w:tcBorders>
            <w:shd w:val="clear" w:color="auto" w:fill="auto"/>
            <w:noWrap/>
            <w:vAlign w:val="center"/>
          </w:tcPr>
          <w:p w14:paraId="76E39A7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5288591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59653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4A6D4BB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偏瘫侧[例</w:t>
            </w:r>
            <w:r>
              <w:rPr>
                <w:rFonts w:hint="default" w:ascii="Times New Roman" w:hAnsi="Times New Roman" w:eastAsia="宋体" w:cs="Times New Roman"/>
                <w:i w:val="0"/>
                <w:iCs w:val="0"/>
                <w:color w:val="auto"/>
                <w:kern w:val="0"/>
                <w:sz w:val="21"/>
                <w:szCs w:val="22"/>
                <w:u w:val="none"/>
                <w:lang w:val="en-US" w:eastAsia="zh-CN" w:bidi="ar"/>
              </w:rPr>
              <w:t>（%）</w:t>
            </w:r>
            <w:r>
              <w:rPr>
                <w:rFonts w:hint="eastAsia" w:ascii="Times New Roman" w:hAnsi="Times New Roman" w:eastAsia="宋体" w:cs="宋体"/>
                <w:i w:val="0"/>
                <w:iCs w:val="0"/>
                <w:color w:val="auto"/>
                <w:kern w:val="0"/>
                <w:sz w:val="21"/>
                <w:szCs w:val="22"/>
                <w:u w:val="none"/>
                <w:lang w:val="en-US" w:eastAsia="zh-CN" w:bidi="ar"/>
              </w:rPr>
              <w:t>]</w:t>
            </w:r>
          </w:p>
        </w:tc>
        <w:tc>
          <w:tcPr>
            <w:tcW w:w="1232" w:type="pct"/>
            <w:tcBorders>
              <w:top w:val="nil"/>
              <w:left w:val="nil"/>
              <w:bottom w:val="nil"/>
              <w:right w:val="nil"/>
            </w:tcBorders>
            <w:shd w:val="clear" w:color="auto" w:fill="auto"/>
            <w:noWrap/>
            <w:vAlign w:val="center"/>
          </w:tcPr>
          <w:p w14:paraId="40DFCD3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1232" w:type="pct"/>
            <w:tcBorders>
              <w:top w:val="nil"/>
              <w:left w:val="nil"/>
              <w:bottom w:val="nil"/>
              <w:right w:val="nil"/>
            </w:tcBorders>
            <w:shd w:val="clear" w:color="auto" w:fill="auto"/>
            <w:noWrap/>
            <w:vAlign w:val="center"/>
          </w:tcPr>
          <w:p w14:paraId="793E1A9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630" w:type="pct"/>
            <w:tcBorders>
              <w:top w:val="nil"/>
              <w:left w:val="nil"/>
              <w:bottom w:val="nil"/>
              <w:right w:val="nil"/>
            </w:tcBorders>
            <w:shd w:val="clear" w:color="auto" w:fill="auto"/>
            <w:noWrap/>
            <w:vAlign w:val="center"/>
          </w:tcPr>
          <w:p w14:paraId="73923CD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lang w:val="en-US" w:eastAsia="zh-CN"/>
              </w:rPr>
            </w:pPr>
            <w:r>
              <w:rPr>
                <w:rFonts w:hint="eastAsia" w:ascii="Times New Roman" w:hAnsi="Times New Roman" w:eastAsia="宋体" w:cs="宋体"/>
                <w:i w:val="0"/>
                <w:iCs w:val="0"/>
                <w:color w:val="auto"/>
                <w:sz w:val="21"/>
                <w:szCs w:val="22"/>
                <w:u w:val="none"/>
                <w:lang w:val="en-US" w:eastAsia="zh-CN"/>
              </w:rPr>
              <w:t>-</w:t>
            </w:r>
          </w:p>
        </w:tc>
        <w:tc>
          <w:tcPr>
            <w:tcW w:w="439" w:type="pct"/>
            <w:tcBorders>
              <w:top w:val="nil"/>
              <w:left w:val="nil"/>
              <w:bottom w:val="nil"/>
              <w:right w:val="nil"/>
            </w:tcBorders>
            <w:shd w:val="clear" w:color="auto" w:fill="auto"/>
            <w:noWrap/>
            <w:vAlign w:val="center"/>
          </w:tcPr>
          <w:p w14:paraId="6627CC5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0.322</w:t>
            </w:r>
            <w:r>
              <w:rPr>
                <w:rFonts w:hint="eastAsia" w:ascii="Times New Roman" w:hAnsi="Times New Roman" w:eastAsia="宋体" w:cs="宋体"/>
                <w:i w:val="0"/>
                <w:iCs w:val="0"/>
                <w:color w:val="auto"/>
                <w:kern w:val="0"/>
                <w:sz w:val="21"/>
                <w:szCs w:val="22"/>
                <w:u w:val="none"/>
                <w:vertAlign w:val="superscript"/>
                <w:lang w:val="en-US" w:eastAsia="zh-CN" w:bidi="ar"/>
              </w:rPr>
              <w:t>*</w:t>
            </w:r>
          </w:p>
        </w:tc>
      </w:tr>
      <w:tr w14:paraId="1CB80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083C04B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左</w:t>
            </w:r>
          </w:p>
        </w:tc>
        <w:tc>
          <w:tcPr>
            <w:tcW w:w="1232" w:type="pct"/>
            <w:tcBorders>
              <w:top w:val="nil"/>
              <w:left w:val="nil"/>
              <w:bottom w:val="nil"/>
              <w:right w:val="nil"/>
            </w:tcBorders>
            <w:shd w:val="clear" w:color="auto" w:fill="auto"/>
            <w:noWrap/>
            <w:vAlign w:val="center"/>
          </w:tcPr>
          <w:p w14:paraId="263F537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lang w:val="en-US"/>
              </w:rPr>
            </w:pPr>
            <w:r>
              <w:rPr>
                <w:rFonts w:hint="eastAsia" w:ascii="Times New Roman" w:hAnsi="Times New Roman" w:eastAsia="宋体" w:cs="宋体"/>
                <w:i w:val="0"/>
                <w:iCs w:val="0"/>
                <w:color w:val="auto"/>
                <w:kern w:val="0"/>
                <w:sz w:val="21"/>
                <w:szCs w:val="22"/>
                <w:u w:val="none"/>
                <w:lang w:val="en-US" w:eastAsia="zh-CN" w:bidi="ar"/>
              </w:rPr>
              <w:t>3（25.00）</w:t>
            </w:r>
          </w:p>
        </w:tc>
        <w:tc>
          <w:tcPr>
            <w:tcW w:w="1232" w:type="pct"/>
            <w:tcBorders>
              <w:top w:val="nil"/>
              <w:left w:val="nil"/>
              <w:bottom w:val="nil"/>
              <w:right w:val="nil"/>
            </w:tcBorders>
            <w:shd w:val="clear" w:color="auto" w:fill="auto"/>
            <w:noWrap/>
            <w:vAlign w:val="center"/>
          </w:tcPr>
          <w:p w14:paraId="298F199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8（61.54）</w:t>
            </w:r>
          </w:p>
        </w:tc>
        <w:tc>
          <w:tcPr>
            <w:tcW w:w="630" w:type="pct"/>
            <w:tcBorders>
              <w:top w:val="nil"/>
              <w:left w:val="nil"/>
              <w:bottom w:val="nil"/>
              <w:right w:val="nil"/>
            </w:tcBorders>
            <w:shd w:val="clear" w:color="auto" w:fill="auto"/>
            <w:noWrap/>
            <w:vAlign w:val="center"/>
          </w:tcPr>
          <w:p w14:paraId="3ABD7C1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336ED45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3311F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65" w:type="pct"/>
            <w:tcBorders>
              <w:top w:val="nil"/>
              <w:left w:val="nil"/>
              <w:bottom w:val="nil"/>
              <w:right w:val="nil"/>
            </w:tcBorders>
            <w:shd w:val="clear" w:color="auto" w:fill="auto"/>
            <w:noWrap/>
            <w:vAlign w:val="center"/>
          </w:tcPr>
          <w:p w14:paraId="693DFA0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右</w:t>
            </w:r>
          </w:p>
        </w:tc>
        <w:tc>
          <w:tcPr>
            <w:tcW w:w="1232" w:type="pct"/>
            <w:tcBorders>
              <w:top w:val="nil"/>
              <w:left w:val="nil"/>
              <w:bottom w:val="nil"/>
              <w:right w:val="nil"/>
            </w:tcBorders>
            <w:shd w:val="clear" w:color="auto" w:fill="auto"/>
            <w:noWrap/>
            <w:vAlign w:val="center"/>
          </w:tcPr>
          <w:p w14:paraId="1D05E81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9（75.00）</w:t>
            </w:r>
          </w:p>
        </w:tc>
        <w:tc>
          <w:tcPr>
            <w:tcW w:w="1232" w:type="pct"/>
            <w:tcBorders>
              <w:top w:val="nil"/>
              <w:left w:val="nil"/>
              <w:bottom w:val="nil"/>
              <w:right w:val="nil"/>
            </w:tcBorders>
            <w:shd w:val="clear" w:color="auto" w:fill="auto"/>
            <w:noWrap/>
            <w:vAlign w:val="center"/>
          </w:tcPr>
          <w:p w14:paraId="5965DD5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5（38.46）</w:t>
            </w:r>
          </w:p>
        </w:tc>
        <w:tc>
          <w:tcPr>
            <w:tcW w:w="630" w:type="pct"/>
            <w:tcBorders>
              <w:top w:val="nil"/>
              <w:left w:val="nil"/>
              <w:bottom w:val="nil"/>
              <w:right w:val="nil"/>
            </w:tcBorders>
            <w:shd w:val="clear" w:color="auto" w:fill="auto"/>
            <w:noWrap/>
            <w:vAlign w:val="center"/>
          </w:tcPr>
          <w:p w14:paraId="0C22477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c>
          <w:tcPr>
            <w:tcW w:w="439" w:type="pct"/>
            <w:tcBorders>
              <w:top w:val="nil"/>
              <w:left w:val="nil"/>
              <w:bottom w:val="nil"/>
              <w:right w:val="nil"/>
            </w:tcBorders>
            <w:shd w:val="clear" w:color="auto" w:fill="auto"/>
            <w:noWrap/>
            <w:vAlign w:val="center"/>
          </w:tcPr>
          <w:p w14:paraId="490A8C5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2"/>
                <w:u w:val="none"/>
              </w:rPr>
            </w:pPr>
          </w:p>
        </w:tc>
      </w:tr>
      <w:tr w14:paraId="19590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1465" w:type="pct"/>
            <w:tcBorders>
              <w:top w:val="nil"/>
              <w:left w:val="nil"/>
              <w:bottom w:val="single" w:color="000000" w:sz="8" w:space="0"/>
              <w:right w:val="nil"/>
            </w:tcBorders>
            <w:shd w:val="clear" w:color="auto" w:fill="auto"/>
            <w:noWrap/>
            <w:vAlign w:val="center"/>
          </w:tcPr>
          <w:p w14:paraId="41A90B6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步行速度（m/s，</w:t>
            </w:r>
            <w:r>
              <w:rPr>
                <w:rFonts w:ascii="Times New Roman" w:hAnsi="Times New Roman" w:eastAsia="宋体"/>
                <w:color w:val="auto"/>
                <w:position w:val="-6"/>
                <w:sz w:val="21"/>
                <w:szCs w:val="21"/>
              </w:rPr>
              <w:object>
                <v:shape id="_x0000_i1030"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30" DrawAspect="Content" ObjectID="_1468075730" r:id="rId10">
                  <o:LockedField>false</o:LockedField>
                </o:OLEObject>
              </w:object>
            </w:r>
            <w:r>
              <w:rPr>
                <w:rFonts w:hint="eastAsia" w:ascii="Times New Roman" w:hAnsi="Times New Roman" w:eastAsia="宋体" w:cs="宋体"/>
                <w:i w:val="0"/>
                <w:iCs w:val="0"/>
                <w:color w:val="auto"/>
                <w:kern w:val="0"/>
                <w:sz w:val="21"/>
                <w:szCs w:val="22"/>
                <w:u w:val="none"/>
                <w:lang w:val="en-US" w:eastAsia="zh-CN" w:bidi="ar"/>
              </w:rPr>
              <w:t>）</w:t>
            </w:r>
          </w:p>
        </w:tc>
        <w:tc>
          <w:tcPr>
            <w:tcW w:w="1232" w:type="pct"/>
            <w:tcBorders>
              <w:top w:val="nil"/>
              <w:left w:val="nil"/>
              <w:bottom w:val="single" w:color="000000" w:sz="8" w:space="0"/>
              <w:right w:val="nil"/>
            </w:tcBorders>
            <w:shd w:val="clear" w:color="auto" w:fill="auto"/>
            <w:noWrap/>
            <w:vAlign w:val="center"/>
          </w:tcPr>
          <w:p w14:paraId="71DDD35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0.28±0.17</w:t>
            </w:r>
          </w:p>
        </w:tc>
        <w:tc>
          <w:tcPr>
            <w:tcW w:w="1232" w:type="pct"/>
            <w:tcBorders>
              <w:top w:val="nil"/>
              <w:left w:val="nil"/>
              <w:bottom w:val="single" w:color="000000" w:sz="8" w:space="0"/>
              <w:right w:val="nil"/>
            </w:tcBorders>
            <w:shd w:val="clear" w:color="auto" w:fill="auto"/>
            <w:noWrap/>
            <w:vAlign w:val="center"/>
          </w:tcPr>
          <w:p w14:paraId="34BF931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0.56±0.21</w:t>
            </w:r>
          </w:p>
        </w:tc>
        <w:tc>
          <w:tcPr>
            <w:tcW w:w="630" w:type="pct"/>
            <w:tcBorders>
              <w:top w:val="nil"/>
              <w:left w:val="nil"/>
              <w:bottom w:val="single" w:color="000000" w:sz="8" w:space="0"/>
              <w:right w:val="nil"/>
            </w:tcBorders>
            <w:shd w:val="clear" w:color="auto" w:fill="auto"/>
            <w:noWrap/>
            <w:vAlign w:val="center"/>
          </w:tcPr>
          <w:p w14:paraId="7D5E0C5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iCs/>
                <w:color w:val="auto"/>
                <w:kern w:val="0"/>
                <w:sz w:val="21"/>
                <w:szCs w:val="22"/>
                <w:u w:val="none"/>
                <w:lang w:val="en-US" w:eastAsia="zh-CN" w:bidi="ar"/>
              </w:rPr>
              <w:t>t</w:t>
            </w:r>
            <w:r>
              <w:rPr>
                <w:rFonts w:hint="eastAsia" w:ascii="Times New Roman" w:hAnsi="Times New Roman" w:eastAsia="宋体" w:cs="宋体"/>
                <w:i w:val="0"/>
                <w:iCs w:val="0"/>
                <w:color w:val="auto"/>
                <w:kern w:val="0"/>
                <w:sz w:val="21"/>
                <w:szCs w:val="22"/>
                <w:u w:val="none"/>
                <w:lang w:val="en-US" w:eastAsia="zh-CN" w:bidi="ar"/>
              </w:rPr>
              <w:t>=3.787</w:t>
            </w:r>
          </w:p>
        </w:tc>
        <w:tc>
          <w:tcPr>
            <w:tcW w:w="439" w:type="pct"/>
            <w:tcBorders>
              <w:top w:val="nil"/>
              <w:left w:val="nil"/>
              <w:bottom w:val="single" w:color="000000" w:sz="8" w:space="0"/>
              <w:right w:val="nil"/>
            </w:tcBorders>
            <w:shd w:val="clear" w:color="auto" w:fill="auto"/>
            <w:noWrap/>
            <w:vAlign w:val="center"/>
          </w:tcPr>
          <w:p w14:paraId="00EC150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2"/>
                <w:u w:val="none"/>
              </w:rPr>
            </w:pPr>
            <w:r>
              <w:rPr>
                <w:rFonts w:hint="eastAsia" w:ascii="Times New Roman" w:hAnsi="Times New Roman" w:eastAsia="宋体" w:cs="宋体"/>
                <w:i w:val="0"/>
                <w:iCs w:val="0"/>
                <w:color w:val="auto"/>
                <w:kern w:val="0"/>
                <w:sz w:val="21"/>
                <w:szCs w:val="22"/>
                <w:u w:val="none"/>
                <w:lang w:val="en-US" w:eastAsia="zh-CN" w:bidi="ar"/>
              </w:rPr>
              <w:t>0.001</w:t>
            </w:r>
          </w:p>
        </w:tc>
      </w:tr>
    </w:tbl>
    <w:p w14:paraId="025E61FD">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rPr>
        <w:t>注：</w:t>
      </w:r>
      <w:r>
        <w:rPr>
          <w:rFonts w:hint="eastAsia" w:ascii="Times New Roman" w:hAnsi="Times New Roman" w:eastAsia="宋体" w:cs="宋体"/>
          <w:color w:val="auto"/>
          <w:kern w:val="0"/>
          <w:sz w:val="21"/>
          <w:szCs w:val="24"/>
          <w:vertAlign w:val="superscript"/>
          <w:lang w:bidi="ar"/>
        </w:rPr>
        <w:t>*</w:t>
      </w:r>
      <w:r>
        <w:rPr>
          <w:rFonts w:hint="eastAsia" w:ascii="Times New Roman" w:hAnsi="Times New Roman" w:eastAsia="宋体" w:cs="宋体"/>
          <w:color w:val="auto"/>
          <w:kern w:val="0"/>
          <w:sz w:val="21"/>
          <w:szCs w:val="24"/>
          <w:vertAlign w:val="baseline"/>
          <w:lang w:val="en-US" w:eastAsia="zh-CN" w:bidi="ar"/>
        </w:rPr>
        <w:t>表示</w:t>
      </w:r>
      <w:r>
        <w:rPr>
          <w:rFonts w:hint="eastAsia" w:ascii="Times New Roman" w:hAnsi="Times New Roman" w:eastAsia="宋体"/>
          <w:color w:val="auto"/>
          <w:kern w:val="0"/>
          <w:sz w:val="21"/>
          <w:szCs w:val="24"/>
        </w:rPr>
        <w:t>双侧确切概率法</w:t>
      </w:r>
      <w:r>
        <w:rPr>
          <w:rFonts w:hint="eastAsia" w:ascii="Times New Roman" w:hAnsi="Times New Roman" w:eastAsia="宋体"/>
          <w:color w:val="auto"/>
          <w:sz w:val="21"/>
          <w:lang w:val="en-US" w:eastAsia="zh-CN"/>
        </w:rPr>
        <w:t>检验</w:t>
      </w:r>
    </w:p>
    <w:p w14:paraId="0174FE50">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二、</w:t>
      </w:r>
      <w:r>
        <w:rPr>
          <w:rFonts w:ascii="Times New Roman" w:hAnsi="Times New Roman" w:eastAsia="宋体"/>
          <w:color w:val="auto"/>
          <w:kern w:val="0"/>
          <w:sz w:val="21"/>
          <w:szCs w:val="24"/>
        </w:rPr>
        <w:t>骨盆三轴偏瘫侧和非偏瘫侧活动</w:t>
      </w:r>
      <w:r>
        <w:rPr>
          <w:rFonts w:hint="eastAsia" w:ascii="Times New Roman" w:hAnsi="Times New Roman" w:eastAsia="宋体"/>
          <w:color w:val="auto"/>
          <w:kern w:val="0"/>
          <w:sz w:val="21"/>
          <w:szCs w:val="24"/>
          <w:lang w:val="en-US" w:eastAsia="zh-CN"/>
        </w:rPr>
        <w:t>角度</w:t>
      </w:r>
      <w:r>
        <w:rPr>
          <w:rFonts w:ascii="Times New Roman" w:hAnsi="Times New Roman" w:eastAsia="宋体"/>
          <w:color w:val="auto"/>
          <w:kern w:val="0"/>
          <w:sz w:val="21"/>
          <w:szCs w:val="24"/>
        </w:rPr>
        <w:t>比较</w:t>
      </w:r>
    </w:p>
    <w:p w14:paraId="004D0155">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（一）</w:t>
      </w:r>
      <w:r>
        <w:rPr>
          <w:rFonts w:ascii="Times New Roman" w:hAnsi="Times New Roman" w:eastAsia="宋体"/>
          <w:color w:val="auto"/>
          <w:kern w:val="0"/>
          <w:sz w:val="21"/>
          <w:szCs w:val="24"/>
        </w:rPr>
        <w:t xml:space="preserve">骨盆三轴最大角度比较 </w:t>
      </w:r>
    </w:p>
    <w:p w14:paraId="367F266E">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default"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lang w:val="en-US" w:eastAsia="zh-CN"/>
        </w:rPr>
        <w:t>在整个步行周期中，</w:t>
      </w:r>
      <w:r>
        <w:rPr>
          <w:rFonts w:ascii="Times New Roman" w:hAnsi="Times New Roman" w:eastAsia="宋体"/>
          <w:color w:val="auto"/>
          <w:kern w:val="0"/>
          <w:sz w:val="21"/>
          <w:szCs w:val="24"/>
        </w:rPr>
        <w:t>偏瘫侧PTA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较非偏瘫侧更小，POA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较非偏瘫侧更大，</w:t>
      </w:r>
      <w:r>
        <w:rPr>
          <w:rFonts w:hint="eastAsia" w:ascii="Times New Roman" w:hAnsi="Times New Roman" w:eastAsia="宋体"/>
          <w:color w:val="auto"/>
          <w:kern w:val="0"/>
          <w:sz w:val="21"/>
          <w:szCs w:val="24"/>
          <w:lang w:eastAsia="zh-CN"/>
        </w:rPr>
        <w:t>2组</w:t>
      </w:r>
      <w:r>
        <w:rPr>
          <w:rFonts w:ascii="Times New Roman" w:hAnsi="Times New Roman" w:eastAsia="宋体"/>
          <w:color w:val="auto"/>
          <w:kern w:val="0"/>
          <w:sz w:val="21"/>
          <w:szCs w:val="24"/>
        </w:rPr>
        <w:t>间</w:t>
      </w:r>
      <w:r>
        <w:rPr>
          <w:rFonts w:hint="eastAsia" w:ascii="Times New Roman" w:hAnsi="Times New Roman" w:eastAsia="宋体"/>
          <w:color w:val="auto"/>
          <w:kern w:val="0"/>
          <w:sz w:val="21"/>
          <w:szCs w:val="24"/>
          <w:lang w:val="en-US" w:eastAsia="zh-CN"/>
        </w:rPr>
        <w:t>比较</w:t>
      </w:r>
      <w:r>
        <w:rPr>
          <w:rFonts w:ascii="Times New Roman" w:hAnsi="Times New Roman" w:eastAsia="宋体"/>
          <w:color w:val="auto"/>
          <w:kern w:val="0"/>
          <w:sz w:val="21"/>
          <w:szCs w:val="24"/>
        </w:rPr>
        <w:t>差异</w:t>
      </w:r>
      <w:r>
        <w:rPr>
          <w:rFonts w:hint="eastAsia" w:ascii="Times New Roman" w:hAnsi="Times New Roman" w:eastAsia="宋体"/>
          <w:color w:val="auto"/>
          <w:kern w:val="0"/>
          <w:sz w:val="21"/>
          <w:szCs w:val="24"/>
          <w:lang w:eastAsia="zh-CN"/>
        </w:rPr>
        <w:t>均</w:t>
      </w:r>
      <w:r>
        <w:rPr>
          <w:rFonts w:ascii="Times New Roman" w:hAnsi="Times New Roman" w:eastAsia="宋体"/>
          <w:color w:val="auto"/>
          <w:kern w:val="0"/>
          <w:sz w:val="21"/>
          <w:szCs w:val="24"/>
        </w:rPr>
        <w:t>有统计学意义（</w:t>
      </w:r>
      <w:r>
        <w:rPr>
          <w:rFonts w:hint="eastAsia" w:ascii="Times New Roman" w:hAnsi="Times New Roman" w:eastAsia="宋体"/>
          <w:i/>
          <w:iCs/>
          <w:color w:val="auto"/>
          <w:kern w:val="0"/>
          <w:sz w:val="21"/>
          <w:szCs w:val="24"/>
          <w:lang w:val="en-US" w:eastAsia="zh-CN" w:bidi="ar"/>
        </w:rPr>
        <w:t>t</w:t>
      </w:r>
      <w:r>
        <w:rPr>
          <w:rFonts w:ascii="Times New Roman" w:hAnsi="Times New Roman" w:eastAsia="宋体"/>
          <w:color w:val="auto"/>
          <w:kern w:val="0"/>
          <w:sz w:val="21"/>
          <w:szCs w:val="24"/>
        </w:rPr>
        <w:t>=</w:t>
      </w:r>
      <w:r>
        <w:rPr>
          <w:rFonts w:hint="eastAsia" w:ascii="Times New Roman" w:hAnsi="Times New Roman" w:eastAsia="宋体" w:cs="Times New Roman"/>
          <w:color w:val="auto"/>
          <w:kern w:val="0"/>
          <w:sz w:val="21"/>
          <w:szCs w:val="24"/>
          <w:lang w:val="en-US" w:eastAsia="zh-CN" w:bidi="ar-SA"/>
        </w:rPr>
        <w:t>2.614</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w:t>
      </w:r>
      <w:r>
        <w:rPr>
          <w:rFonts w:hint="eastAsia" w:ascii="Times New Roman" w:hAnsi="Times New Roman" w:eastAsia="宋体"/>
          <w:color w:val="auto"/>
          <w:kern w:val="0"/>
          <w:sz w:val="21"/>
          <w:szCs w:val="24"/>
          <w:lang w:val="en-US" w:eastAsia="zh-CN"/>
        </w:rPr>
        <w:t>1</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bidi="ar"/>
        </w:rPr>
        <w:t>Z</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2.</w:t>
      </w:r>
      <w:r>
        <w:rPr>
          <w:rFonts w:ascii="Times New Roman" w:hAnsi="Times New Roman" w:eastAsia="宋体"/>
          <w:color w:val="auto"/>
          <w:kern w:val="0"/>
          <w:sz w:val="21"/>
          <w:szCs w:val="24"/>
        </w:rPr>
        <w:t>115，</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034）。</w:t>
      </w:r>
      <w:r>
        <w:rPr>
          <w:rFonts w:hint="eastAsia" w:ascii="Times New Roman" w:hAnsi="Times New Roman" w:eastAsia="宋体"/>
          <w:color w:val="auto"/>
          <w:kern w:val="0"/>
          <w:sz w:val="21"/>
          <w:szCs w:val="24"/>
          <w:highlight w:val="none"/>
          <w:lang w:eastAsia="zh-CN"/>
        </w:rPr>
        <w:t>2组</w:t>
      </w:r>
      <w:r>
        <w:rPr>
          <w:rFonts w:ascii="Times New Roman" w:hAnsi="Times New Roman" w:eastAsia="宋体"/>
          <w:color w:val="auto"/>
          <w:kern w:val="0"/>
          <w:sz w:val="21"/>
          <w:szCs w:val="24"/>
          <w:highlight w:val="none"/>
        </w:rPr>
        <w:t>间PRA</w:t>
      </w:r>
      <w:r>
        <w:rPr>
          <w:rFonts w:ascii="Times New Roman" w:hAnsi="Times New Roman" w:eastAsia="宋体"/>
          <w:color w:val="auto"/>
          <w:kern w:val="0"/>
          <w:sz w:val="21"/>
          <w:szCs w:val="24"/>
          <w:highlight w:val="none"/>
          <w:vertAlign w:val="subscript"/>
        </w:rPr>
        <w:t>max</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highlight w:val="none"/>
        </w:rPr>
        <w:t>差异</w:t>
      </w:r>
      <w:r>
        <w:rPr>
          <w:rFonts w:hint="eastAsia" w:ascii="Times New Roman" w:hAnsi="Times New Roman" w:eastAsia="宋体"/>
          <w:color w:val="auto"/>
          <w:kern w:val="0"/>
          <w:sz w:val="21"/>
          <w:szCs w:val="24"/>
          <w:highlight w:val="none"/>
          <w:lang w:val="en-US" w:eastAsia="zh-CN"/>
        </w:rPr>
        <w:t>无</w:t>
      </w:r>
      <w:r>
        <w:rPr>
          <w:rFonts w:ascii="Times New Roman" w:hAnsi="Times New Roman" w:eastAsia="宋体"/>
          <w:color w:val="auto"/>
          <w:kern w:val="0"/>
          <w:sz w:val="21"/>
          <w:szCs w:val="24"/>
          <w:highlight w:val="none"/>
        </w:rPr>
        <w:t>统计学意义</w:t>
      </w:r>
      <w:r>
        <w:rPr>
          <w:rFonts w:hint="eastAsia" w:ascii="Times New Roman" w:hAnsi="Times New Roman" w:eastAsia="宋体"/>
          <w:color w:val="auto"/>
          <w:kern w:val="0"/>
          <w:sz w:val="21"/>
          <w:szCs w:val="24"/>
          <w:highlight w:val="none"/>
          <w:lang w:eastAsia="zh-CN"/>
        </w:rPr>
        <w:t>（</w:t>
      </w:r>
      <w:r>
        <w:rPr>
          <w:rFonts w:ascii="Times New Roman" w:hAnsi="Times New Roman" w:eastAsia="宋体"/>
          <w:i/>
          <w:iCs/>
          <w:color w:val="auto"/>
          <w:kern w:val="0"/>
          <w:sz w:val="21"/>
          <w:szCs w:val="24"/>
          <w:highlight w:val="none"/>
        </w:rPr>
        <w:t>P</w:t>
      </w:r>
      <w:r>
        <w:rPr>
          <w:rFonts w:hint="eastAsia" w:ascii="Times New Roman" w:hAnsi="Times New Roman" w:eastAsia="宋体"/>
          <w:color w:val="auto"/>
          <w:kern w:val="0"/>
          <w:sz w:val="21"/>
          <w:szCs w:val="24"/>
          <w:highlight w:val="none"/>
          <w:lang w:val="en-US" w:eastAsia="zh-CN"/>
        </w:rPr>
        <w:t>＞0.05</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表</w:t>
      </w:r>
      <w:r>
        <w:rPr>
          <w:rFonts w:hint="eastAsia" w:ascii="Times New Roman" w:hAnsi="Times New Roman" w:eastAsia="宋体"/>
          <w:color w:val="auto"/>
          <w:kern w:val="0"/>
          <w:sz w:val="21"/>
          <w:szCs w:val="24"/>
          <w:highlight w:val="none"/>
        </w:rPr>
        <w:t>2</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w:t>
      </w:r>
    </w:p>
    <w:p w14:paraId="48D3E605">
      <w:pPr>
        <w:keepNext w:val="0"/>
        <w:keepLines w:val="0"/>
        <w:pageBreakBefore w:val="0"/>
        <w:kinsoku/>
        <w:wordWrap/>
        <w:overflowPunct/>
        <w:topLinePunct w:val="0"/>
        <w:autoSpaceDE/>
        <w:autoSpaceDN/>
        <w:bidi w:val="0"/>
        <w:adjustRightInd/>
        <w:snapToGrid/>
        <w:spacing w:beforeAutospacing="0" w:afterAutospacing="0" w:line="360" w:lineRule="auto"/>
        <w:ind w:firstLine="422" w:firstLineChars="200"/>
        <w:jc w:val="center"/>
        <w:rPr>
          <w:rFonts w:hint="eastAsia" w:ascii="Times New Roman" w:hAnsi="Times New Roman" w:eastAsia="宋体"/>
          <w:color w:val="auto"/>
          <w:sz w:val="21"/>
          <w:szCs w:val="21"/>
          <w:lang w:val="en-US" w:eastAsia="zh-CN"/>
        </w:rPr>
      </w:pPr>
      <w:r>
        <w:rPr>
          <w:rFonts w:ascii="Times New Roman" w:hAnsi="Times New Roman" w:eastAsia="宋体"/>
          <w:b/>
          <w:bCs/>
          <w:color w:val="auto"/>
          <w:kern w:val="0"/>
          <w:sz w:val="21"/>
          <w:szCs w:val="24"/>
        </w:rPr>
        <w:t>表</w:t>
      </w:r>
      <w:r>
        <w:rPr>
          <w:rFonts w:ascii="Times New Roman" w:hAnsi="Times New Roman" w:eastAsia="宋体"/>
          <w:b/>
          <w:bCs/>
          <w:color w:val="auto"/>
          <w:kern w:val="0"/>
          <w:sz w:val="21"/>
          <w:szCs w:val="24"/>
        </w:rPr>
        <w:fldChar w:fldCharType="begin"/>
      </w:r>
      <w:r>
        <w:rPr>
          <w:rFonts w:ascii="Times New Roman" w:hAnsi="Times New Roman" w:eastAsia="宋体"/>
          <w:b/>
          <w:bCs/>
          <w:color w:val="auto"/>
          <w:kern w:val="0"/>
          <w:sz w:val="21"/>
          <w:szCs w:val="24"/>
        </w:rPr>
        <w:instrText xml:space="preserve"> SEQ 表 \* ARABIC </w:instrText>
      </w:r>
      <w:r>
        <w:rPr>
          <w:rFonts w:ascii="Times New Roman" w:hAnsi="Times New Roman" w:eastAsia="宋体"/>
          <w:b/>
          <w:bCs/>
          <w:color w:val="auto"/>
          <w:kern w:val="0"/>
          <w:sz w:val="21"/>
          <w:szCs w:val="24"/>
        </w:rPr>
        <w:fldChar w:fldCharType="separate"/>
      </w:r>
      <w:r>
        <w:rPr>
          <w:rFonts w:ascii="Times New Roman" w:hAnsi="Times New Roman" w:eastAsia="宋体"/>
          <w:b/>
          <w:bCs/>
          <w:color w:val="auto"/>
          <w:kern w:val="0"/>
          <w:sz w:val="21"/>
          <w:szCs w:val="24"/>
        </w:rPr>
        <w:t>2</w:t>
      </w:r>
      <w:r>
        <w:rPr>
          <w:rFonts w:ascii="Times New Roman" w:hAnsi="Times New Roman" w:eastAsia="宋体"/>
          <w:b/>
          <w:bCs/>
          <w:color w:val="auto"/>
          <w:kern w:val="0"/>
          <w:sz w:val="21"/>
          <w:szCs w:val="24"/>
        </w:rPr>
        <w:fldChar w:fldCharType="end"/>
      </w:r>
      <w:r>
        <w:rPr>
          <w:rFonts w:hint="eastAsia" w:ascii="Times New Roman" w:hAnsi="Times New Roman" w:eastAsia="宋体"/>
          <w:color w:val="auto"/>
          <w:kern w:val="0"/>
          <w:sz w:val="21"/>
          <w:szCs w:val="24"/>
          <w:lang w:val="en-US" w:eastAsia="zh-CN"/>
        </w:rPr>
        <w:t xml:space="preserve"> </w:t>
      </w:r>
      <w:r>
        <w:rPr>
          <w:rFonts w:ascii="Times New Roman" w:hAnsi="Times New Roman" w:eastAsia="宋体"/>
          <w:color w:val="auto"/>
          <w:kern w:val="0"/>
          <w:sz w:val="21"/>
          <w:szCs w:val="24"/>
        </w:rPr>
        <w:t xml:space="preserve"> </w:t>
      </w:r>
      <w:r>
        <w:rPr>
          <w:rFonts w:hint="eastAsia" w:ascii="Times New Roman" w:hAnsi="Times New Roman" w:eastAsia="宋体" w:cs="宋体"/>
          <w:i w:val="0"/>
          <w:iCs w:val="0"/>
          <w:color w:val="auto"/>
          <w:kern w:val="0"/>
          <w:sz w:val="21"/>
          <w:szCs w:val="24"/>
          <w:u w:val="none"/>
          <w:lang w:val="en-US" w:eastAsia="zh-CN" w:bidi="ar"/>
        </w:rPr>
        <w:t>偏瘫侧和非偏瘫侧</w:t>
      </w:r>
      <w:r>
        <w:rPr>
          <w:rFonts w:ascii="Times New Roman" w:hAnsi="Times New Roman" w:eastAsia="宋体"/>
          <w:color w:val="auto"/>
          <w:kern w:val="0"/>
          <w:sz w:val="21"/>
          <w:szCs w:val="24"/>
        </w:rPr>
        <w:t>骨盆三轴</w:t>
      </w:r>
      <w:r>
        <w:rPr>
          <w:rFonts w:hint="eastAsia" w:ascii="Times New Roman" w:hAnsi="Times New Roman" w:eastAsia="宋体"/>
          <w:color w:val="auto"/>
          <w:kern w:val="0"/>
          <w:sz w:val="21"/>
          <w:szCs w:val="24"/>
          <w:highlight w:val="none"/>
          <w:lang w:val="en-US" w:eastAsia="zh-CN"/>
        </w:rPr>
        <w:t>最大</w:t>
      </w:r>
      <w:r>
        <w:rPr>
          <w:rFonts w:ascii="Times New Roman" w:hAnsi="Times New Roman" w:eastAsia="宋体"/>
          <w:color w:val="auto"/>
          <w:kern w:val="0"/>
          <w:sz w:val="21"/>
          <w:szCs w:val="24"/>
          <w:highlight w:val="none"/>
        </w:rPr>
        <w:t>角度比</w:t>
      </w:r>
      <w:r>
        <w:rPr>
          <w:rFonts w:ascii="Times New Roman" w:hAnsi="Times New Roman" w:eastAsia="宋体"/>
          <w:color w:val="auto"/>
          <w:kern w:val="0"/>
          <w:sz w:val="21"/>
          <w:szCs w:val="24"/>
        </w:rPr>
        <w:t>较</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highlight w:val="none"/>
          <w:lang w:val="en-US" w:eastAsia="zh-CN"/>
        </w:rPr>
        <w:t>°</w:t>
      </w:r>
      <w:r>
        <w:rPr>
          <w:rFonts w:hint="eastAsia" w:ascii="Times New Roman" w:hAnsi="Times New Roman" w:eastAsia="宋体"/>
          <w:color w:val="auto"/>
          <w:kern w:val="0"/>
          <w:sz w:val="21"/>
          <w:szCs w:val="24"/>
          <w:lang w:eastAsia="zh-CN"/>
        </w:rPr>
        <w:t>）</w:t>
      </w:r>
    </w:p>
    <w:tbl>
      <w:tblPr>
        <w:tblStyle w:val="10"/>
        <w:tblW w:w="4998"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1"/>
        <w:gridCol w:w="747"/>
        <w:gridCol w:w="2664"/>
        <w:gridCol w:w="2293"/>
        <w:gridCol w:w="2293"/>
      </w:tblGrid>
      <w:tr w14:paraId="1170C8D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672" w:type="pct"/>
            <w:tcBorders>
              <w:bottom w:val="single" w:color="auto" w:sz="4" w:space="0"/>
            </w:tcBorders>
            <w:shd w:val="clear" w:color="auto" w:fill="auto"/>
            <w:noWrap/>
            <w:vAlign w:val="center"/>
          </w:tcPr>
          <w:p w14:paraId="2058B13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宋体"/>
                <w:i w:val="0"/>
                <w:iCs w:val="0"/>
                <w:color w:val="auto"/>
                <w:sz w:val="21"/>
                <w:szCs w:val="24"/>
                <w:u w:val="none"/>
                <w:lang w:val="en-US" w:eastAsia="zh-CN"/>
              </w:rPr>
            </w:pPr>
            <w:r>
              <w:rPr>
                <w:rFonts w:hint="eastAsia" w:ascii="Times New Roman" w:hAnsi="Times New Roman" w:eastAsia="宋体" w:cs="宋体"/>
                <w:i w:val="0"/>
                <w:iCs w:val="0"/>
                <w:color w:val="auto"/>
                <w:sz w:val="21"/>
                <w:szCs w:val="24"/>
                <w:u w:val="none"/>
                <w:lang w:val="en-US" w:eastAsia="zh-CN"/>
              </w:rPr>
              <w:t>项目</w:t>
            </w:r>
          </w:p>
        </w:tc>
        <w:tc>
          <w:tcPr>
            <w:tcW w:w="404" w:type="pct"/>
            <w:tcBorders>
              <w:bottom w:val="single" w:color="auto" w:sz="4" w:space="0"/>
            </w:tcBorders>
            <w:shd w:val="clear" w:color="auto" w:fill="auto"/>
            <w:vAlign w:val="center"/>
          </w:tcPr>
          <w:p w14:paraId="2C4DFED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r>
              <w:rPr>
                <w:rFonts w:hint="eastAsia" w:ascii="Times New Roman" w:hAnsi="Times New Roman" w:eastAsia="宋体" w:cs="Times New Roman"/>
                <w:i w:val="0"/>
                <w:iCs w:val="0"/>
                <w:color w:val="auto"/>
                <w:kern w:val="0"/>
                <w:sz w:val="21"/>
                <w:szCs w:val="24"/>
                <w:u w:val="none"/>
                <w:lang w:val="en-US" w:eastAsia="zh-CN" w:bidi="ar"/>
              </w:rPr>
              <w:t>例数</w:t>
            </w:r>
          </w:p>
        </w:tc>
        <w:tc>
          <w:tcPr>
            <w:tcW w:w="1441" w:type="pct"/>
            <w:tcBorders>
              <w:bottom w:val="single" w:color="auto" w:sz="4" w:space="0"/>
            </w:tcBorders>
            <w:shd w:val="clear" w:color="auto" w:fill="auto"/>
            <w:vAlign w:val="center"/>
          </w:tcPr>
          <w:p w14:paraId="5A04AB6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PTA</w:t>
            </w:r>
            <w:r>
              <w:rPr>
                <w:rFonts w:hint="default" w:ascii="Times New Roman" w:hAnsi="Times New Roman" w:eastAsia="宋体" w:cs="Times New Roman"/>
                <w:i w:val="0"/>
                <w:iCs w:val="0"/>
                <w:color w:val="auto"/>
                <w:kern w:val="0"/>
                <w:sz w:val="21"/>
                <w:szCs w:val="24"/>
                <w:u w:val="none"/>
                <w:vertAlign w:val="subscript"/>
                <w:lang w:val="en-US" w:eastAsia="zh-CN" w:bidi="ar"/>
              </w:rPr>
              <w:t>max</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position w:val="-6"/>
                <w:sz w:val="21"/>
                <w:szCs w:val="21"/>
              </w:rPr>
              <w:object>
                <v:shape id="_x0000_i1031" o:spt="75" type="#_x0000_t75" style="height:13.3pt;width:26.55pt;" o:ole="t" filled="f" o:preferrelative="t" stroked="f" coordsize="21600,21600">
                  <v:path/>
                  <v:fill on="f" focussize="0,0"/>
                  <v:stroke on="f"/>
                  <v:imagedata r:id="rId5" o:title=""/>
                  <o:lock v:ext="edit" aspectratio="t"/>
                  <w10:wrap type="none"/>
                  <w10:anchorlock/>
                </v:shape>
                <o:OLEObject Type="Embed" ProgID="Equation.3" ShapeID="_x0000_i1031" DrawAspect="Content" ObjectID="_1468075731" r:id="rId11">
                  <o:LockedField>false</o:LockedField>
                </o:OLEObject>
              </w:object>
            </w:r>
            <w:r>
              <w:rPr>
                <w:rFonts w:hint="eastAsia" w:ascii="Times New Roman" w:hAnsi="Times New Roman" w:eastAsia="宋体"/>
                <w:color w:val="auto"/>
                <w:kern w:val="0"/>
                <w:sz w:val="21"/>
                <w:szCs w:val="24"/>
                <w:highlight w:val="none"/>
                <w:lang w:eastAsia="zh-CN"/>
              </w:rPr>
              <w:t>）</w:t>
            </w:r>
          </w:p>
        </w:tc>
        <w:tc>
          <w:tcPr>
            <w:tcW w:w="1240" w:type="pct"/>
            <w:tcBorders>
              <w:bottom w:val="single" w:color="auto" w:sz="4" w:space="0"/>
            </w:tcBorders>
            <w:shd w:val="clear" w:color="auto" w:fill="auto"/>
            <w:vAlign w:val="center"/>
          </w:tcPr>
          <w:p w14:paraId="24DA660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lang w:val="en-US"/>
              </w:rPr>
            </w:pPr>
            <w:r>
              <w:rPr>
                <w:rFonts w:hint="default" w:ascii="Times New Roman" w:hAnsi="Times New Roman" w:eastAsia="宋体" w:cs="Times New Roman"/>
                <w:i w:val="0"/>
                <w:iCs w:val="0"/>
                <w:color w:val="auto"/>
                <w:kern w:val="0"/>
                <w:sz w:val="21"/>
                <w:szCs w:val="24"/>
                <w:u w:val="none"/>
                <w:lang w:val="en-US" w:eastAsia="zh-CN" w:bidi="ar"/>
              </w:rPr>
              <w:t>POA</w:t>
            </w:r>
            <w:r>
              <w:rPr>
                <w:rFonts w:hint="default" w:ascii="Times New Roman" w:hAnsi="Times New Roman" w:eastAsia="宋体" w:cs="Times New Roman"/>
                <w:i w:val="0"/>
                <w:iCs w:val="0"/>
                <w:color w:val="auto"/>
                <w:kern w:val="0"/>
                <w:sz w:val="21"/>
                <w:szCs w:val="24"/>
                <w:u w:val="none"/>
                <w:vertAlign w:val="subscript"/>
                <w:lang w:val="en-US" w:eastAsia="zh-CN" w:bidi="ar"/>
              </w:rPr>
              <w:t>max</w:t>
            </w:r>
            <w:r>
              <w:rPr>
                <w:rFonts w:hint="eastAsia" w:ascii="Times New Roman" w:hAnsi="Times New Roman" w:eastAsia="宋体" w:cs="Times New Roman"/>
                <w:i w:val="0"/>
                <w:iCs w:val="0"/>
                <w:color w:val="auto"/>
                <w:kern w:val="0"/>
                <w:sz w:val="21"/>
                <w:szCs w:val="24"/>
                <w:u w:val="none"/>
                <w:vertAlign w:val="baseline"/>
                <w:lang w:val="en-US" w:eastAsia="zh-CN" w:bidi="ar"/>
              </w:rPr>
              <w:t>[</w:t>
            </w:r>
            <w:r>
              <w:rPr>
                <w:rFonts w:hint="eastAsia" w:ascii="Times New Roman" w:hAnsi="Times New Roman" w:eastAsia="宋体" w:cs="Times New Roman"/>
                <w:i/>
                <w:iCs/>
                <w:color w:val="auto"/>
                <w:kern w:val="0"/>
                <w:sz w:val="21"/>
                <w:szCs w:val="24"/>
                <w:u w:val="none"/>
                <w:vertAlign w:val="baseline"/>
                <w:lang w:val="en-US" w:eastAsia="zh-CN" w:bidi="ar"/>
              </w:rPr>
              <w:t>M</w:t>
            </w:r>
            <w:r>
              <w:rPr>
                <w:rFonts w:hint="eastAsia" w:ascii="Times New Roman" w:hAnsi="Times New Roman" w:eastAsia="宋体" w:cs="Times New Roman"/>
                <w:i w:val="0"/>
                <w:iCs w:val="0"/>
                <w:color w:val="auto"/>
                <w:kern w:val="0"/>
                <w:sz w:val="21"/>
                <w:szCs w:val="24"/>
                <w:u w:val="none"/>
                <w:vertAlign w:val="baseline"/>
                <w:lang w:val="en-US" w:eastAsia="zh-CN" w:bidi="ar"/>
              </w:rPr>
              <w:t>（</w:t>
            </w:r>
            <w:r>
              <w:rPr>
                <w:rFonts w:hint="eastAsia" w:ascii="Times New Roman" w:hAnsi="Times New Roman" w:eastAsia="宋体" w:cs="Times New Roman"/>
                <w:i/>
                <w:iCs/>
                <w:color w:val="auto"/>
                <w:kern w:val="0"/>
                <w:sz w:val="21"/>
                <w:szCs w:val="24"/>
                <w:u w:val="none"/>
                <w:vertAlign w:val="baseline"/>
                <w:lang w:val="en-US" w:eastAsia="zh-CN" w:bidi="ar"/>
              </w:rPr>
              <w:t>Q</w:t>
            </w:r>
            <w:r>
              <w:rPr>
                <w:rFonts w:hint="eastAsia" w:ascii="Times New Roman" w:hAnsi="Times New Roman" w:eastAsia="宋体" w:cs="Times New Roman"/>
                <w:i w:val="0"/>
                <w:iCs w:val="0"/>
                <w:color w:val="auto"/>
                <w:kern w:val="0"/>
                <w:sz w:val="21"/>
                <w:szCs w:val="24"/>
                <w:u w:val="none"/>
                <w:vertAlign w:val="subscript"/>
                <w:lang w:val="en-US" w:eastAsia="zh-CN" w:bidi="ar"/>
              </w:rPr>
              <w:t>R</w:t>
            </w:r>
            <w:r>
              <w:rPr>
                <w:rFonts w:hint="eastAsia" w:ascii="Times New Roman" w:hAnsi="Times New Roman" w:eastAsia="宋体" w:cs="Times New Roman"/>
                <w:i w:val="0"/>
                <w:iCs w:val="0"/>
                <w:color w:val="auto"/>
                <w:kern w:val="0"/>
                <w:sz w:val="21"/>
                <w:szCs w:val="24"/>
                <w:u w:val="none"/>
                <w:vertAlign w:val="baseline"/>
                <w:lang w:val="en-US" w:eastAsia="zh-CN" w:bidi="ar"/>
              </w:rPr>
              <w:t>）]</w:t>
            </w:r>
          </w:p>
        </w:tc>
        <w:tc>
          <w:tcPr>
            <w:tcW w:w="1240" w:type="pct"/>
            <w:tcBorders>
              <w:bottom w:val="single" w:color="auto" w:sz="4" w:space="0"/>
            </w:tcBorders>
            <w:shd w:val="clear" w:color="auto" w:fill="auto"/>
            <w:vAlign w:val="center"/>
          </w:tcPr>
          <w:p w14:paraId="19C8054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PRA</w:t>
            </w:r>
            <w:r>
              <w:rPr>
                <w:rStyle w:val="27"/>
                <w:rFonts w:ascii="Times New Roman" w:hAnsi="Times New Roman" w:eastAsia="宋体"/>
                <w:color w:val="auto"/>
                <w:sz w:val="21"/>
                <w:lang w:val="en-US" w:eastAsia="zh-CN" w:bidi="ar"/>
              </w:rPr>
              <w:t>max</w:t>
            </w:r>
            <w:r>
              <w:rPr>
                <w:rFonts w:hint="eastAsia" w:ascii="Times New Roman" w:hAnsi="Times New Roman" w:eastAsia="宋体" w:cs="Times New Roman"/>
                <w:i w:val="0"/>
                <w:iCs w:val="0"/>
                <w:color w:val="auto"/>
                <w:kern w:val="0"/>
                <w:sz w:val="21"/>
                <w:szCs w:val="24"/>
                <w:u w:val="none"/>
                <w:vertAlign w:val="baseline"/>
                <w:lang w:val="en-US" w:eastAsia="zh-CN" w:bidi="ar"/>
              </w:rPr>
              <w:t>[</w:t>
            </w:r>
            <w:r>
              <w:rPr>
                <w:rFonts w:hint="eastAsia" w:ascii="Times New Roman" w:hAnsi="Times New Roman" w:eastAsia="宋体" w:cs="Times New Roman"/>
                <w:i/>
                <w:iCs/>
                <w:color w:val="auto"/>
                <w:kern w:val="0"/>
                <w:sz w:val="21"/>
                <w:szCs w:val="24"/>
                <w:u w:val="none"/>
                <w:vertAlign w:val="baseline"/>
                <w:lang w:val="en-US" w:eastAsia="zh-CN" w:bidi="ar"/>
              </w:rPr>
              <w:t>M</w:t>
            </w:r>
            <w:r>
              <w:rPr>
                <w:rFonts w:hint="eastAsia" w:ascii="Times New Roman" w:hAnsi="Times New Roman" w:eastAsia="宋体" w:cs="Times New Roman"/>
                <w:i w:val="0"/>
                <w:iCs w:val="0"/>
                <w:color w:val="auto"/>
                <w:kern w:val="0"/>
                <w:sz w:val="21"/>
                <w:szCs w:val="24"/>
                <w:u w:val="none"/>
                <w:vertAlign w:val="baseline"/>
                <w:lang w:val="en-US" w:eastAsia="zh-CN" w:bidi="ar"/>
              </w:rPr>
              <w:t>（</w:t>
            </w:r>
            <w:r>
              <w:rPr>
                <w:rFonts w:hint="eastAsia" w:ascii="Times New Roman" w:hAnsi="Times New Roman" w:eastAsia="宋体" w:cs="Times New Roman"/>
                <w:i/>
                <w:iCs/>
                <w:color w:val="auto"/>
                <w:kern w:val="0"/>
                <w:sz w:val="21"/>
                <w:szCs w:val="24"/>
                <w:u w:val="none"/>
                <w:vertAlign w:val="baseline"/>
                <w:lang w:val="en-US" w:eastAsia="zh-CN" w:bidi="ar"/>
              </w:rPr>
              <w:t>Q</w:t>
            </w:r>
            <w:r>
              <w:rPr>
                <w:rFonts w:hint="eastAsia" w:ascii="Times New Roman" w:hAnsi="Times New Roman" w:eastAsia="宋体" w:cs="Times New Roman"/>
                <w:i w:val="0"/>
                <w:iCs w:val="0"/>
                <w:color w:val="auto"/>
                <w:kern w:val="0"/>
                <w:sz w:val="21"/>
                <w:szCs w:val="24"/>
                <w:u w:val="none"/>
                <w:vertAlign w:val="subscript"/>
                <w:lang w:val="en-US" w:eastAsia="zh-CN" w:bidi="ar"/>
              </w:rPr>
              <w:t>R</w:t>
            </w:r>
            <w:r>
              <w:rPr>
                <w:rFonts w:hint="eastAsia" w:ascii="Times New Roman" w:hAnsi="Times New Roman" w:eastAsia="宋体" w:cs="Times New Roman"/>
                <w:i w:val="0"/>
                <w:iCs w:val="0"/>
                <w:color w:val="auto"/>
                <w:kern w:val="0"/>
                <w:sz w:val="21"/>
                <w:szCs w:val="24"/>
                <w:u w:val="none"/>
                <w:vertAlign w:val="baseline"/>
                <w:lang w:val="en-US" w:eastAsia="zh-CN" w:bidi="ar"/>
              </w:rPr>
              <w:t>）]</w:t>
            </w:r>
          </w:p>
        </w:tc>
      </w:tr>
      <w:tr w14:paraId="5573923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jc w:val="center"/>
        </w:trPr>
        <w:tc>
          <w:tcPr>
            <w:tcW w:w="672" w:type="pct"/>
            <w:tcBorders>
              <w:top w:val="single" w:color="auto" w:sz="4" w:space="0"/>
            </w:tcBorders>
            <w:shd w:val="clear" w:color="auto" w:fill="auto"/>
            <w:vAlign w:val="center"/>
          </w:tcPr>
          <w:p w14:paraId="29EAA0A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偏瘫侧</w:t>
            </w:r>
          </w:p>
        </w:tc>
        <w:tc>
          <w:tcPr>
            <w:tcW w:w="404" w:type="pct"/>
            <w:tcBorders>
              <w:top w:val="single" w:color="auto" w:sz="4" w:space="0"/>
            </w:tcBorders>
            <w:shd w:val="clear" w:color="auto" w:fill="auto"/>
            <w:vAlign w:val="center"/>
          </w:tcPr>
          <w:p w14:paraId="2AC9FD4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441" w:type="pct"/>
            <w:tcBorders>
              <w:top w:val="single" w:color="auto" w:sz="4" w:space="0"/>
            </w:tcBorders>
            <w:shd w:val="clear" w:color="auto" w:fill="auto"/>
            <w:vAlign w:val="center"/>
          </w:tcPr>
          <w:p w14:paraId="707DB7C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bidi="ar"/>
              </w:rPr>
            </w:pPr>
            <w:r>
              <w:rPr>
                <w:rFonts w:hint="default" w:ascii="Times New Roman" w:hAnsi="Times New Roman" w:eastAsia="宋体" w:cs="Times New Roman"/>
                <w:color w:val="auto"/>
                <w:kern w:val="0"/>
                <w:sz w:val="21"/>
                <w:szCs w:val="24"/>
                <w:u w:val="none"/>
                <w:lang w:val="en-US" w:eastAsia="zh-CN" w:bidi="ar"/>
              </w:rPr>
              <w:t>31.19</w:t>
            </w:r>
            <w:r>
              <w:rPr>
                <w:rFonts w:hint="eastAsia" w:ascii="Times New Roman" w:hAnsi="Times New Roman" w:eastAsia="宋体" w:cs="Times New Roman"/>
                <w:color w:val="auto"/>
                <w:kern w:val="0"/>
                <w:sz w:val="21"/>
                <w:szCs w:val="24"/>
                <w:u w:val="none"/>
                <w:lang w:val="en-US" w:eastAsia="zh-CN" w:bidi="ar"/>
              </w:rPr>
              <w:t>±</w:t>
            </w:r>
            <w:r>
              <w:rPr>
                <w:rFonts w:hint="default" w:ascii="Times New Roman" w:hAnsi="Times New Roman" w:eastAsia="宋体" w:cs="Times New Roman"/>
                <w:color w:val="auto"/>
                <w:kern w:val="0"/>
                <w:sz w:val="21"/>
                <w:szCs w:val="24"/>
                <w:u w:val="none"/>
                <w:lang w:val="en-US" w:eastAsia="zh-CN" w:bidi="ar"/>
              </w:rPr>
              <w:t>0.674</w:t>
            </w:r>
          </w:p>
        </w:tc>
        <w:tc>
          <w:tcPr>
            <w:tcW w:w="1240" w:type="pct"/>
            <w:tcBorders>
              <w:top w:val="single" w:color="auto" w:sz="4" w:space="0"/>
            </w:tcBorders>
            <w:shd w:val="clear" w:color="auto" w:fill="auto"/>
            <w:vAlign w:val="center"/>
          </w:tcPr>
          <w:p w14:paraId="0D05DDA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w:t>
            </w:r>
            <w:r>
              <w:rPr>
                <w:rStyle w:val="29"/>
                <w:rFonts w:ascii="Times New Roman" w:hAnsi="Times New Roman" w:eastAsia="宋体"/>
                <w:color w:val="auto"/>
                <w:sz w:val="21"/>
                <w:lang w:val="en-US" w:eastAsia="zh-CN" w:bidi="ar"/>
              </w:rPr>
              <w:t>78</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3.33</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6.74</w:t>
            </w:r>
            <w:r>
              <w:rPr>
                <w:rStyle w:val="30"/>
                <w:rFonts w:ascii="Times New Roman" w:hAnsi="Times New Roman" w:eastAsia="宋体"/>
                <w:color w:val="auto"/>
                <w:sz w:val="21"/>
                <w:lang w:val="en-US" w:eastAsia="zh-CN" w:bidi="ar"/>
              </w:rPr>
              <w:t>）</w:t>
            </w:r>
          </w:p>
        </w:tc>
        <w:tc>
          <w:tcPr>
            <w:tcW w:w="1240" w:type="pct"/>
            <w:tcBorders>
              <w:top w:val="single" w:color="auto" w:sz="4" w:space="0"/>
            </w:tcBorders>
            <w:shd w:val="clear" w:color="auto" w:fill="auto"/>
            <w:vAlign w:val="center"/>
          </w:tcPr>
          <w:p w14:paraId="50ECAEA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w:t>
            </w:r>
            <w:r>
              <w:rPr>
                <w:rStyle w:val="29"/>
                <w:rFonts w:ascii="Times New Roman" w:hAnsi="Times New Roman" w:eastAsia="宋体"/>
                <w:color w:val="auto"/>
                <w:sz w:val="21"/>
                <w:lang w:val="en-US" w:eastAsia="zh-CN" w:bidi="ar"/>
              </w:rPr>
              <w:t>25</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1.53</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6.79</w:t>
            </w:r>
            <w:r>
              <w:rPr>
                <w:rStyle w:val="30"/>
                <w:rFonts w:ascii="Times New Roman" w:hAnsi="Times New Roman" w:eastAsia="宋体"/>
                <w:color w:val="auto"/>
                <w:sz w:val="21"/>
                <w:lang w:val="en-US" w:eastAsia="zh-CN" w:bidi="ar"/>
              </w:rPr>
              <w:t>）</w:t>
            </w:r>
          </w:p>
        </w:tc>
      </w:tr>
      <w:tr w14:paraId="5CA2A9B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jc w:val="center"/>
        </w:trPr>
        <w:tc>
          <w:tcPr>
            <w:tcW w:w="672" w:type="pct"/>
            <w:tcBorders>
              <w:bottom w:val="single" w:color="auto" w:sz="4" w:space="0"/>
            </w:tcBorders>
            <w:shd w:val="clear" w:color="auto" w:fill="auto"/>
            <w:vAlign w:val="center"/>
          </w:tcPr>
          <w:p w14:paraId="68108D2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非偏瘫侧</w:t>
            </w:r>
          </w:p>
        </w:tc>
        <w:tc>
          <w:tcPr>
            <w:tcW w:w="404" w:type="pct"/>
            <w:tcBorders>
              <w:bottom w:val="single" w:color="auto" w:sz="4" w:space="0"/>
            </w:tcBorders>
            <w:shd w:val="clear" w:color="auto" w:fill="auto"/>
            <w:vAlign w:val="center"/>
          </w:tcPr>
          <w:p w14:paraId="59E692A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441" w:type="pct"/>
            <w:tcBorders>
              <w:bottom w:val="single" w:color="auto" w:sz="4" w:space="0"/>
            </w:tcBorders>
            <w:shd w:val="clear" w:color="auto" w:fill="auto"/>
            <w:vAlign w:val="center"/>
          </w:tcPr>
          <w:p w14:paraId="60899C9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bidi="ar"/>
              </w:rPr>
            </w:pPr>
            <w:r>
              <w:rPr>
                <w:rFonts w:hint="default" w:ascii="Times New Roman" w:hAnsi="Times New Roman" w:eastAsia="宋体" w:cs="Times New Roman"/>
                <w:color w:val="auto"/>
                <w:kern w:val="0"/>
                <w:sz w:val="21"/>
                <w:szCs w:val="24"/>
                <w:u w:val="none"/>
                <w:lang w:val="en-US" w:eastAsia="zh-CN" w:bidi="ar"/>
              </w:rPr>
              <w:t>31.55</w:t>
            </w:r>
            <w:r>
              <w:rPr>
                <w:rFonts w:hint="eastAsia" w:ascii="Times New Roman" w:hAnsi="Times New Roman" w:eastAsia="宋体" w:cs="Times New Roman"/>
                <w:color w:val="auto"/>
                <w:kern w:val="0"/>
                <w:sz w:val="21"/>
                <w:szCs w:val="24"/>
                <w:u w:val="none"/>
                <w:lang w:val="en-US" w:eastAsia="zh-CN" w:bidi="ar"/>
              </w:rPr>
              <w:t>±</w:t>
            </w:r>
            <w:r>
              <w:rPr>
                <w:rFonts w:hint="default" w:ascii="Times New Roman" w:hAnsi="Times New Roman" w:eastAsia="宋体" w:cs="Times New Roman"/>
                <w:color w:val="auto"/>
                <w:kern w:val="0"/>
                <w:sz w:val="21"/>
                <w:szCs w:val="24"/>
                <w:u w:val="none"/>
                <w:lang w:val="en-US" w:eastAsia="zh-CN" w:bidi="ar"/>
              </w:rPr>
              <w:t>0.696</w:t>
            </w:r>
          </w:p>
        </w:tc>
        <w:tc>
          <w:tcPr>
            <w:tcW w:w="1240" w:type="pct"/>
            <w:tcBorders>
              <w:bottom w:val="single" w:color="auto" w:sz="4" w:space="0"/>
            </w:tcBorders>
            <w:shd w:val="clear" w:color="auto" w:fill="auto"/>
            <w:vAlign w:val="center"/>
          </w:tcPr>
          <w:p w14:paraId="6B3747F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w:t>
            </w:r>
            <w:r>
              <w:rPr>
                <w:rStyle w:val="29"/>
                <w:rFonts w:ascii="Times New Roman" w:hAnsi="Times New Roman" w:eastAsia="宋体"/>
                <w:color w:val="auto"/>
                <w:sz w:val="21"/>
                <w:lang w:val="en-US" w:eastAsia="zh-CN" w:bidi="ar"/>
              </w:rPr>
              <w:t>54</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1.77</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5.93</w:t>
            </w:r>
            <w:r>
              <w:rPr>
                <w:rStyle w:val="30"/>
                <w:rFonts w:ascii="Times New Roman" w:hAnsi="Times New Roman" w:eastAsia="宋体"/>
                <w:color w:val="auto"/>
                <w:sz w:val="21"/>
                <w:lang w:val="en-US" w:eastAsia="zh-CN" w:bidi="ar"/>
              </w:rPr>
              <w:t>）</w:t>
            </w:r>
          </w:p>
        </w:tc>
        <w:tc>
          <w:tcPr>
            <w:tcW w:w="1240" w:type="pct"/>
            <w:tcBorders>
              <w:bottom w:val="single" w:color="auto" w:sz="4" w:space="0"/>
            </w:tcBorders>
            <w:shd w:val="clear" w:color="auto" w:fill="auto"/>
            <w:vAlign w:val="center"/>
          </w:tcPr>
          <w:p w14:paraId="63F5027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w:t>
            </w:r>
            <w:r>
              <w:rPr>
                <w:rStyle w:val="29"/>
                <w:rFonts w:ascii="Times New Roman" w:hAnsi="Times New Roman" w:eastAsia="宋体"/>
                <w:color w:val="auto"/>
                <w:sz w:val="21"/>
                <w:lang w:val="en-US" w:eastAsia="zh-CN" w:bidi="ar"/>
              </w:rPr>
              <w:t>54</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1.77</w:t>
            </w:r>
            <w:r>
              <w:rPr>
                <w:rStyle w:val="30"/>
                <w:rFonts w:ascii="Times New Roman" w:hAnsi="Times New Roman" w:eastAsia="宋体"/>
                <w:color w:val="auto"/>
                <w:sz w:val="21"/>
                <w:lang w:val="en-US" w:eastAsia="zh-CN" w:bidi="ar"/>
              </w:rPr>
              <w:t>，</w:t>
            </w:r>
            <w:r>
              <w:rPr>
                <w:rStyle w:val="29"/>
                <w:rFonts w:ascii="Times New Roman" w:hAnsi="Times New Roman" w:eastAsia="宋体"/>
                <w:color w:val="auto"/>
                <w:sz w:val="21"/>
                <w:lang w:val="en-US" w:eastAsia="zh-CN" w:bidi="ar"/>
              </w:rPr>
              <w:t>5.93</w:t>
            </w:r>
            <w:r>
              <w:rPr>
                <w:rStyle w:val="30"/>
                <w:rFonts w:ascii="Times New Roman" w:hAnsi="Times New Roman" w:eastAsia="宋体"/>
                <w:color w:val="auto"/>
                <w:sz w:val="21"/>
                <w:lang w:val="en-US" w:eastAsia="zh-CN" w:bidi="ar"/>
              </w:rPr>
              <w:t>）</w:t>
            </w:r>
          </w:p>
        </w:tc>
      </w:tr>
      <w:tr w14:paraId="0D46774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672" w:type="pct"/>
            <w:tcBorders>
              <w:top w:val="single" w:color="auto" w:sz="4" w:space="0"/>
            </w:tcBorders>
            <w:shd w:val="clear" w:color="auto" w:fill="auto"/>
            <w:vAlign w:val="center"/>
          </w:tcPr>
          <w:p w14:paraId="2BBD53F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iCs/>
                <w:color w:val="auto"/>
                <w:sz w:val="21"/>
                <w:szCs w:val="24"/>
                <w:u w:val="none"/>
              </w:rPr>
            </w:pPr>
            <w:r>
              <w:rPr>
                <w:rFonts w:hint="eastAsia" w:ascii="Times New Roman" w:hAnsi="Times New Roman" w:eastAsia="宋体" w:cs="Times New Roman"/>
                <w:i/>
                <w:iCs/>
                <w:color w:val="auto"/>
                <w:kern w:val="0"/>
                <w:sz w:val="21"/>
                <w:szCs w:val="24"/>
                <w:u w:val="none"/>
                <w:lang w:val="en-US" w:eastAsia="zh-CN" w:bidi="ar"/>
              </w:rPr>
              <w:t>t/</w:t>
            </w:r>
            <w:r>
              <w:rPr>
                <w:rFonts w:hint="default" w:ascii="Times New Roman" w:hAnsi="Times New Roman" w:eastAsia="宋体" w:cs="Times New Roman"/>
                <w:i/>
                <w:iCs/>
                <w:color w:val="auto"/>
                <w:kern w:val="0"/>
                <w:sz w:val="21"/>
                <w:szCs w:val="24"/>
                <w:u w:val="none"/>
                <w:lang w:val="en-US" w:eastAsia="zh-CN" w:bidi="ar"/>
              </w:rPr>
              <w:t>Z</w:t>
            </w:r>
            <w:r>
              <w:rPr>
                <w:rStyle w:val="31"/>
                <w:rFonts w:ascii="Times New Roman" w:hAnsi="Times New Roman" w:eastAsia="宋体"/>
                <w:color w:val="auto"/>
                <w:sz w:val="21"/>
                <w:lang w:val="en-US" w:eastAsia="zh-CN" w:bidi="ar"/>
              </w:rPr>
              <w:t>值</w:t>
            </w:r>
          </w:p>
        </w:tc>
        <w:tc>
          <w:tcPr>
            <w:tcW w:w="404" w:type="pct"/>
            <w:tcBorders>
              <w:top w:val="single" w:color="auto" w:sz="4" w:space="0"/>
            </w:tcBorders>
            <w:shd w:val="clear" w:color="auto" w:fill="auto"/>
            <w:vAlign w:val="center"/>
          </w:tcPr>
          <w:p w14:paraId="7A554BC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p>
        </w:tc>
        <w:tc>
          <w:tcPr>
            <w:tcW w:w="1441" w:type="pct"/>
            <w:tcBorders>
              <w:top w:val="single" w:color="auto" w:sz="4" w:space="0"/>
            </w:tcBorders>
            <w:shd w:val="clear" w:color="auto" w:fill="auto"/>
            <w:vAlign w:val="center"/>
          </w:tcPr>
          <w:p w14:paraId="43C6078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bidi="ar"/>
              </w:rPr>
            </w:pPr>
            <w:r>
              <w:rPr>
                <w:rFonts w:hint="default" w:ascii="Times New Roman" w:hAnsi="Times New Roman" w:eastAsia="宋体" w:cs="Times New Roman"/>
                <w:color w:val="auto"/>
                <w:kern w:val="0"/>
                <w:sz w:val="21"/>
                <w:szCs w:val="24"/>
                <w:u w:val="none"/>
                <w:lang w:val="en-US" w:eastAsia="zh-CN" w:bidi="ar"/>
              </w:rPr>
              <w:t>2.614</w:t>
            </w:r>
          </w:p>
        </w:tc>
        <w:tc>
          <w:tcPr>
            <w:tcW w:w="1240" w:type="pct"/>
            <w:tcBorders>
              <w:top w:val="single" w:color="auto" w:sz="4" w:space="0"/>
            </w:tcBorders>
            <w:shd w:val="clear" w:color="auto" w:fill="auto"/>
            <w:vAlign w:val="center"/>
          </w:tcPr>
          <w:p w14:paraId="15A4143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2.115</w:t>
            </w:r>
          </w:p>
        </w:tc>
        <w:tc>
          <w:tcPr>
            <w:tcW w:w="1240" w:type="pct"/>
            <w:tcBorders>
              <w:top w:val="single" w:color="auto" w:sz="4" w:space="0"/>
            </w:tcBorders>
            <w:shd w:val="clear" w:color="auto" w:fill="auto"/>
            <w:vAlign w:val="center"/>
          </w:tcPr>
          <w:p w14:paraId="6097A24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1.241</w:t>
            </w:r>
          </w:p>
        </w:tc>
      </w:tr>
      <w:tr w14:paraId="057F718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72" w:type="pct"/>
            <w:shd w:val="clear" w:color="auto" w:fill="auto"/>
            <w:vAlign w:val="center"/>
          </w:tcPr>
          <w:p w14:paraId="56BA02D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iCs/>
                <w:color w:val="auto"/>
                <w:sz w:val="21"/>
                <w:szCs w:val="24"/>
                <w:u w:val="none"/>
              </w:rPr>
            </w:pPr>
            <w:r>
              <w:rPr>
                <w:rFonts w:hint="default" w:ascii="Times New Roman" w:hAnsi="Times New Roman" w:eastAsia="宋体" w:cs="Times New Roman"/>
                <w:i/>
                <w:iCs/>
                <w:color w:val="auto"/>
                <w:kern w:val="0"/>
                <w:sz w:val="21"/>
                <w:szCs w:val="24"/>
                <w:u w:val="none"/>
                <w:lang w:val="en-US" w:eastAsia="zh-CN" w:bidi="ar"/>
              </w:rPr>
              <w:t>P</w:t>
            </w:r>
            <w:r>
              <w:rPr>
                <w:rStyle w:val="31"/>
                <w:rFonts w:ascii="Times New Roman" w:hAnsi="Times New Roman" w:eastAsia="宋体"/>
                <w:color w:val="auto"/>
                <w:sz w:val="21"/>
                <w:lang w:val="en-US" w:eastAsia="zh-CN" w:bidi="ar"/>
              </w:rPr>
              <w:t>值</w:t>
            </w:r>
          </w:p>
        </w:tc>
        <w:tc>
          <w:tcPr>
            <w:tcW w:w="404" w:type="pct"/>
            <w:shd w:val="clear" w:color="auto" w:fill="auto"/>
            <w:vAlign w:val="center"/>
          </w:tcPr>
          <w:p w14:paraId="0127F7B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p>
        </w:tc>
        <w:tc>
          <w:tcPr>
            <w:tcW w:w="1441" w:type="pct"/>
            <w:shd w:val="clear" w:color="auto" w:fill="auto"/>
            <w:vAlign w:val="center"/>
          </w:tcPr>
          <w:p w14:paraId="7C9C2E7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bidi="ar"/>
              </w:rPr>
            </w:pPr>
            <w:r>
              <w:rPr>
                <w:rFonts w:hint="default" w:ascii="Times New Roman" w:hAnsi="Times New Roman" w:eastAsia="宋体" w:cs="Times New Roman"/>
                <w:color w:val="auto"/>
                <w:kern w:val="0"/>
                <w:sz w:val="21"/>
                <w:szCs w:val="24"/>
                <w:u w:val="none"/>
                <w:lang w:val="en-US" w:eastAsia="zh-CN" w:bidi="ar"/>
              </w:rPr>
              <w:t>0.011</w:t>
            </w:r>
          </w:p>
        </w:tc>
        <w:tc>
          <w:tcPr>
            <w:tcW w:w="1240" w:type="pct"/>
            <w:shd w:val="clear" w:color="auto" w:fill="auto"/>
            <w:vAlign w:val="center"/>
          </w:tcPr>
          <w:p w14:paraId="5CF3961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0.034</w:t>
            </w:r>
          </w:p>
        </w:tc>
        <w:tc>
          <w:tcPr>
            <w:tcW w:w="1240" w:type="pct"/>
            <w:shd w:val="clear" w:color="auto" w:fill="auto"/>
            <w:vAlign w:val="center"/>
          </w:tcPr>
          <w:p w14:paraId="16E34A0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0.215</w:t>
            </w:r>
          </w:p>
        </w:tc>
      </w:tr>
    </w:tbl>
    <w:p w14:paraId="5BC8CBE0">
      <w:pPr>
        <w:pStyle w:val="2"/>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kern w:val="0"/>
          <w:sz w:val="21"/>
          <w:szCs w:val="24"/>
        </w:rPr>
      </w:pPr>
    </w:p>
    <w:p w14:paraId="5C25147F">
      <w:pPr>
        <w:pStyle w:val="2"/>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注：PTA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为骨盆最大前倾角度</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POA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为骨盆最大向上侧倾角度</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为骨盆最大旋内角度</w:t>
      </w:r>
    </w:p>
    <w:p w14:paraId="1DED103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rPr>
      </w:pPr>
    </w:p>
    <w:p w14:paraId="159041DA">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（二）</w:t>
      </w:r>
      <w:r>
        <w:rPr>
          <w:rFonts w:ascii="Times New Roman" w:hAnsi="Times New Roman" w:eastAsia="宋体"/>
          <w:color w:val="auto"/>
          <w:kern w:val="0"/>
          <w:sz w:val="21"/>
          <w:szCs w:val="24"/>
        </w:rPr>
        <w:t>骨盆三轴</w:t>
      </w:r>
      <w:r>
        <w:rPr>
          <w:rFonts w:hint="eastAsia" w:ascii="Times New Roman" w:hAnsi="Times New Roman" w:eastAsia="宋体"/>
          <w:color w:val="auto"/>
          <w:kern w:val="0"/>
          <w:sz w:val="21"/>
          <w:szCs w:val="24"/>
          <w:lang w:val="en-US" w:eastAsia="zh-CN"/>
        </w:rPr>
        <w:t>活动范围</w:t>
      </w:r>
      <w:r>
        <w:rPr>
          <w:rFonts w:ascii="Times New Roman" w:hAnsi="Times New Roman" w:eastAsia="宋体"/>
          <w:color w:val="auto"/>
          <w:kern w:val="0"/>
          <w:sz w:val="21"/>
          <w:szCs w:val="24"/>
        </w:rPr>
        <w:t>比较</w:t>
      </w:r>
    </w:p>
    <w:p w14:paraId="5A3B0962">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highlight w:val="none"/>
          <w:lang w:eastAsia="zh-CN"/>
        </w:rPr>
        <w:t>在</w:t>
      </w:r>
      <w:r>
        <w:rPr>
          <w:rFonts w:ascii="Times New Roman" w:hAnsi="Times New Roman" w:eastAsia="宋体"/>
          <w:color w:val="auto"/>
          <w:kern w:val="0"/>
          <w:sz w:val="21"/>
          <w:szCs w:val="24"/>
          <w:highlight w:val="none"/>
        </w:rPr>
        <w:t>步行初期</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偏瘫侧PTA</w:t>
      </w:r>
      <w:r>
        <w:rPr>
          <w:rFonts w:ascii="Times New Roman" w:hAnsi="Times New Roman" w:eastAsia="宋体"/>
          <w:color w:val="auto"/>
          <w:kern w:val="0"/>
          <w:sz w:val="21"/>
          <w:szCs w:val="24"/>
          <w:highlight w:val="none"/>
          <w:vertAlign w:val="subscript"/>
        </w:rPr>
        <w:t>ROM1</w:t>
      </w:r>
      <w:r>
        <w:rPr>
          <w:rFonts w:hint="eastAsia" w:ascii="Times New Roman" w:hAnsi="Times New Roman" w:eastAsia="宋体"/>
          <w:color w:val="auto"/>
          <w:kern w:val="0"/>
          <w:sz w:val="21"/>
          <w:szCs w:val="24"/>
          <w:highlight w:val="none"/>
          <w:lang w:eastAsia="zh-CN"/>
        </w:rPr>
        <w:t>显著</w:t>
      </w:r>
      <w:r>
        <w:rPr>
          <w:rFonts w:hint="eastAsia" w:ascii="Times New Roman" w:hAnsi="Times New Roman" w:eastAsia="宋体"/>
          <w:color w:val="auto"/>
          <w:kern w:val="0"/>
          <w:sz w:val="21"/>
          <w:szCs w:val="24"/>
          <w:highlight w:val="none"/>
          <w:lang w:val="en-US" w:eastAsia="zh-CN"/>
        </w:rPr>
        <w:t>低于</w:t>
      </w:r>
      <w:r>
        <w:rPr>
          <w:rFonts w:ascii="Times New Roman" w:hAnsi="Times New Roman" w:eastAsia="宋体"/>
          <w:color w:val="auto"/>
          <w:kern w:val="0"/>
          <w:sz w:val="21"/>
          <w:szCs w:val="24"/>
          <w:highlight w:val="none"/>
        </w:rPr>
        <w:t>非偏瘫侧，差异有统计学意义（</w:t>
      </w:r>
      <w:r>
        <w:rPr>
          <w:rFonts w:ascii="Times New Roman" w:hAnsi="Times New Roman" w:eastAsia="宋体"/>
          <w:i/>
          <w:iCs/>
          <w:color w:val="auto"/>
          <w:kern w:val="0"/>
          <w:sz w:val="21"/>
          <w:szCs w:val="24"/>
          <w:highlight w:val="none"/>
        </w:rPr>
        <w:t>t</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2.</w:t>
      </w:r>
      <w:r>
        <w:rPr>
          <w:rFonts w:ascii="Times New Roman" w:hAnsi="Times New Roman" w:eastAsia="宋体"/>
          <w:color w:val="auto"/>
          <w:kern w:val="0"/>
          <w:sz w:val="21"/>
          <w:szCs w:val="24"/>
          <w:highlight w:val="none"/>
        </w:rPr>
        <w:t>829，</w:t>
      </w:r>
      <w:r>
        <w:rPr>
          <w:rFonts w:ascii="Times New Roman" w:hAnsi="Times New Roman" w:eastAsia="宋体"/>
          <w:i/>
          <w:iCs/>
          <w:color w:val="auto"/>
          <w:kern w:val="0"/>
          <w:sz w:val="21"/>
          <w:szCs w:val="24"/>
          <w:highlight w:val="none"/>
        </w:rPr>
        <w:t>P</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0.</w:t>
      </w:r>
      <w:r>
        <w:rPr>
          <w:rFonts w:ascii="Times New Roman" w:hAnsi="Times New Roman" w:eastAsia="宋体"/>
          <w:color w:val="auto"/>
          <w:kern w:val="0"/>
          <w:sz w:val="21"/>
          <w:szCs w:val="24"/>
          <w:highlight w:val="none"/>
        </w:rPr>
        <w:t>009）。</w:t>
      </w:r>
      <w:r>
        <w:rPr>
          <w:rFonts w:hint="eastAsia" w:ascii="Times New Roman" w:hAnsi="Times New Roman" w:eastAsia="宋体"/>
          <w:color w:val="auto"/>
          <w:kern w:val="0"/>
          <w:sz w:val="21"/>
          <w:szCs w:val="24"/>
          <w:highlight w:val="none"/>
          <w:lang w:eastAsia="zh-CN"/>
        </w:rPr>
        <w:t>2组</w:t>
      </w:r>
      <w:r>
        <w:rPr>
          <w:rFonts w:ascii="Times New Roman" w:hAnsi="Times New Roman" w:eastAsia="宋体"/>
          <w:color w:val="auto"/>
          <w:kern w:val="0"/>
          <w:sz w:val="21"/>
          <w:szCs w:val="24"/>
          <w:highlight w:val="none"/>
        </w:rPr>
        <w:t>间PRA</w:t>
      </w:r>
      <w:r>
        <w:rPr>
          <w:rFonts w:ascii="Times New Roman" w:hAnsi="Times New Roman" w:eastAsia="宋体"/>
          <w:color w:val="auto"/>
          <w:kern w:val="0"/>
          <w:sz w:val="21"/>
          <w:szCs w:val="24"/>
          <w:highlight w:val="none"/>
          <w:vertAlign w:val="subscript"/>
        </w:rPr>
        <w:t>ROM1</w:t>
      </w:r>
      <w:r>
        <w:rPr>
          <w:rFonts w:ascii="Times New Roman" w:hAnsi="Times New Roman" w:eastAsia="宋体"/>
          <w:color w:val="auto"/>
          <w:kern w:val="0"/>
          <w:sz w:val="21"/>
          <w:szCs w:val="24"/>
          <w:highlight w:val="none"/>
        </w:rPr>
        <w:t>和POA</w:t>
      </w:r>
      <w:r>
        <w:rPr>
          <w:rFonts w:ascii="Times New Roman" w:hAnsi="Times New Roman" w:eastAsia="宋体"/>
          <w:color w:val="auto"/>
          <w:kern w:val="0"/>
          <w:sz w:val="21"/>
          <w:szCs w:val="24"/>
          <w:highlight w:val="none"/>
          <w:vertAlign w:val="subscript"/>
        </w:rPr>
        <w:t>ROM1</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highlight w:val="none"/>
        </w:rPr>
        <w:t>差异</w:t>
      </w:r>
      <w:r>
        <w:rPr>
          <w:rFonts w:hint="eastAsia" w:ascii="Times New Roman" w:hAnsi="Times New Roman" w:eastAsia="宋体"/>
          <w:color w:val="auto"/>
          <w:kern w:val="0"/>
          <w:sz w:val="21"/>
          <w:szCs w:val="24"/>
          <w:highlight w:val="none"/>
          <w:lang w:eastAsia="zh-CN"/>
        </w:rPr>
        <w:t>均</w:t>
      </w:r>
      <w:r>
        <w:rPr>
          <w:rFonts w:hint="eastAsia" w:ascii="Times New Roman" w:hAnsi="Times New Roman" w:eastAsia="宋体"/>
          <w:color w:val="auto"/>
          <w:kern w:val="0"/>
          <w:sz w:val="21"/>
          <w:szCs w:val="24"/>
          <w:highlight w:val="none"/>
          <w:lang w:val="en-US" w:eastAsia="zh-CN"/>
        </w:rPr>
        <w:t>无</w:t>
      </w:r>
      <w:r>
        <w:rPr>
          <w:rFonts w:ascii="Times New Roman" w:hAnsi="Times New Roman" w:eastAsia="宋体"/>
          <w:color w:val="auto"/>
          <w:kern w:val="0"/>
          <w:sz w:val="21"/>
          <w:szCs w:val="24"/>
          <w:highlight w:val="none"/>
        </w:rPr>
        <w:t>统计学意义</w:t>
      </w:r>
      <w:r>
        <w:rPr>
          <w:rFonts w:hint="eastAsia" w:ascii="Times New Roman" w:hAnsi="Times New Roman" w:eastAsia="宋体"/>
          <w:color w:val="auto"/>
          <w:kern w:val="0"/>
          <w:sz w:val="21"/>
          <w:szCs w:val="24"/>
          <w:highlight w:val="none"/>
          <w:lang w:eastAsia="zh-CN"/>
        </w:rPr>
        <w:t>（</w:t>
      </w:r>
      <w:r>
        <w:rPr>
          <w:rFonts w:ascii="Times New Roman" w:hAnsi="Times New Roman" w:eastAsia="宋体"/>
          <w:i/>
          <w:iCs/>
          <w:color w:val="auto"/>
          <w:kern w:val="0"/>
          <w:sz w:val="21"/>
          <w:szCs w:val="24"/>
          <w:highlight w:val="none"/>
        </w:rPr>
        <w:t>P</w:t>
      </w:r>
      <w:r>
        <w:rPr>
          <w:rFonts w:hint="eastAsia" w:ascii="Times New Roman" w:hAnsi="Times New Roman" w:eastAsia="宋体"/>
          <w:i w:val="0"/>
          <w:iCs w:val="0"/>
          <w:color w:val="auto"/>
          <w:kern w:val="0"/>
          <w:sz w:val="21"/>
          <w:szCs w:val="24"/>
          <w:highlight w:val="none"/>
          <w:lang w:eastAsia="zh-CN"/>
        </w:rPr>
        <w:t>均</w:t>
      </w:r>
      <w:r>
        <w:rPr>
          <w:rFonts w:hint="eastAsia" w:ascii="Times New Roman" w:hAnsi="Times New Roman" w:eastAsia="宋体"/>
          <w:color w:val="auto"/>
          <w:kern w:val="0"/>
          <w:sz w:val="21"/>
          <w:szCs w:val="24"/>
          <w:highlight w:val="none"/>
          <w:lang w:val="en-US" w:eastAsia="zh-CN"/>
        </w:rPr>
        <w:t>＞0.05</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表</w:t>
      </w:r>
      <w:r>
        <w:rPr>
          <w:rFonts w:hint="eastAsia" w:ascii="Times New Roman" w:hAnsi="Times New Roman" w:eastAsia="宋体"/>
          <w:color w:val="auto"/>
          <w:kern w:val="0"/>
          <w:sz w:val="21"/>
          <w:szCs w:val="24"/>
          <w:highlight w:val="none"/>
          <w:lang w:val="en-US" w:eastAsia="zh-CN"/>
        </w:rPr>
        <w:t>3</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w:t>
      </w:r>
    </w:p>
    <w:p w14:paraId="25E3CF7E">
      <w:pPr>
        <w:pStyle w:val="2"/>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kern w:val="0"/>
          <w:sz w:val="21"/>
          <w:szCs w:val="24"/>
          <w:lang w:eastAsia="zh-CN"/>
        </w:rPr>
      </w:pPr>
      <w:r>
        <w:rPr>
          <w:rFonts w:ascii="Times New Roman" w:hAnsi="Times New Roman" w:eastAsia="宋体"/>
          <w:b/>
          <w:bCs/>
          <w:color w:val="auto"/>
          <w:kern w:val="0"/>
          <w:sz w:val="21"/>
          <w:szCs w:val="24"/>
        </w:rPr>
        <w:t>表</w:t>
      </w:r>
      <w:r>
        <w:rPr>
          <w:rFonts w:ascii="Times New Roman" w:hAnsi="Times New Roman" w:eastAsia="宋体"/>
          <w:b/>
          <w:bCs/>
          <w:color w:val="auto"/>
          <w:kern w:val="0"/>
          <w:sz w:val="21"/>
          <w:szCs w:val="24"/>
        </w:rPr>
        <w:fldChar w:fldCharType="begin"/>
      </w:r>
      <w:r>
        <w:rPr>
          <w:rFonts w:ascii="Times New Roman" w:hAnsi="Times New Roman" w:eastAsia="宋体"/>
          <w:b/>
          <w:bCs/>
          <w:color w:val="auto"/>
          <w:kern w:val="0"/>
          <w:sz w:val="21"/>
          <w:szCs w:val="24"/>
        </w:rPr>
        <w:instrText xml:space="preserve"> SEQ 表 \* ARABIC </w:instrText>
      </w:r>
      <w:r>
        <w:rPr>
          <w:rFonts w:ascii="Times New Roman" w:hAnsi="Times New Roman" w:eastAsia="宋体"/>
          <w:b/>
          <w:bCs/>
          <w:color w:val="auto"/>
          <w:kern w:val="0"/>
          <w:sz w:val="21"/>
          <w:szCs w:val="24"/>
        </w:rPr>
        <w:fldChar w:fldCharType="separate"/>
      </w:r>
      <w:r>
        <w:rPr>
          <w:rFonts w:ascii="Times New Roman" w:hAnsi="Times New Roman" w:eastAsia="宋体"/>
          <w:b/>
          <w:bCs/>
          <w:color w:val="auto"/>
          <w:kern w:val="0"/>
          <w:sz w:val="21"/>
          <w:szCs w:val="24"/>
        </w:rPr>
        <w:t>3</w:t>
      </w:r>
      <w:r>
        <w:rPr>
          <w:rFonts w:ascii="Times New Roman" w:hAnsi="Times New Roman" w:eastAsia="宋体"/>
          <w:b/>
          <w:bCs/>
          <w:color w:val="auto"/>
          <w:kern w:val="0"/>
          <w:sz w:val="21"/>
          <w:szCs w:val="24"/>
        </w:rPr>
        <w:fldChar w:fldCharType="end"/>
      </w:r>
      <w:r>
        <w:rPr>
          <w:rFonts w:hint="eastAsia" w:ascii="Times New Roman" w:hAnsi="Times New Roman" w:eastAsia="宋体"/>
          <w:color w:val="auto"/>
          <w:kern w:val="0"/>
          <w:sz w:val="21"/>
          <w:szCs w:val="24"/>
          <w:lang w:val="en-US" w:eastAsia="zh-CN"/>
        </w:rPr>
        <w:t xml:space="preserve">   </w:t>
      </w:r>
      <w:r>
        <w:rPr>
          <w:rFonts w:hint="eastAsia" w:ascii="Times New Roman" w:hAnsi="Times New Roman" w:eastAsia="宋体" w:cs="宋体"/>
          <w:i w:val="0"/>
          <w:iCs w:val="0"/>
          <w:color w:val="auto"/>
          <w:kern w:val="0"/>
          <w:sz w:val="21"/>
          <w:szCs w:val="24"/>
          <w:u w:val="none"/>
          <w:lang w:val="en-US" w:eastAsia="zh-CN" w:bidi="ar"/>
        </w:rPr>
        <w:t>偏瘫侧和非偏瘫侧</w:t>
      </w:r>
      <w:r>
        <w:rPr>
          <w:rFonts w:ascii="Times New Roman" w:hAnsi="Times New Roman" w:eastAsia="宋体"/>
          <w:color w:val="auto"/>
          <w:kern w:val="0"/>
          <w:sz w:val="21"/>
          <w:szCs w:val="24"/>
        </w:rPr>
        <w:t>骨盆三轴</w:t>
      </w:r>
      <w:r>
        <w:rPr>
          <w:rFonts w:hint="eastAsia" w:ascii="Times New Roman" w:hAnsi="Times New Roman" w:eastAsia="宋体"/>
          <w:color w:val="auto"/>
          <w:kern w:val="0"/>
          <w:sz w:val="21"/>
          <w:szCs w:val="24"/>
          <w:highlight w:val="none"/>
          <w:lang w:val="en-US" w:eastAsia="zh-CN"/>
        </w:rPr>
        <w:t>活动范围</w:t>
      </w:r>
      <w:r>
        <w:rPr>
          <w:rFonts w:ascii="Times New Roman" w:hAnsi="Times New Roman" w:eastAsia="宋体"/>
          <w:color w:val="auto"/>
          <w:kern w:val="0"/>
          <w:sz w:val="21"/>
          <w:szCs w:val="24"/>
        </w:rPr>
        <w:t>比较</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highlight w:val="none"/>
          <w:lang w:val="en-US" w:eastAsia="zh-CN"/>
        </w:rPr>
        <w:t>°，</w:t>
      </w:r>
      <w:r>
        <w:rPr>
          <w:rFonts w:ascii="Times New Roman" w:hAnsi="Times New Roman" w:eastAsia="宋体"/>
          <w:i/>
          <w:iCs/>
          <w:color w:val="auto"/>
          <w:position w:val="-10"/>
          <w:sz w:val="21"/>
          <w:szCs w:val="24"/>
        </w:rPr>
        <w:object>
          <v:shape id="_x0000_i1032" o:spt="75" type="#_x0000_t75" style="height:13.8pt;width:7.2pt;" o:ole="t" filled="f" o:preferrelative="t" stroked="f" coordsize="21600,21600">
            <v:path/>
            <v:fill on="f" focussize="0,0"/>
            <v:stroke on="f" joinstyle="miter"/>
            <v:imagedata r:id="rId13" o:title=""/>
            <o:lock v:ext="edit" aspectratio="t"/>
            <w10:wrap type="none"/>
            <w10:anchorlock/>
          </v:shape>
          <o:OLEObject Type="Embed" ProgID="Equation.3" ShapeID="_x0000_i1032" DrawAspect="Content" ObjectID="_1468075732" r:id="rId12">
            <o:LockedField>false</o:LockedField>
          </o:OLEObject>
        </w:object>
      </w:r>
      <w:r>
        <w:rPr>
          <w:rFonts w:hint="eastAsia" w:ascii="Times New Roman" w:hAnsi="Times New Roman" w:eastAsia="宋体" w:cs="宋体"/>
          <w:i w:val="0"/>
          <w:iCs w:val="0"/>
          <w:color w:val="auto"/>
          <w:kern w:val="0"/>
          <w:sz w:val="21"/>
          <w:szCs w:val="24"/>
          <w:lang w:bidi="ar"/>
        </w:rPr>
        <w:t>±</w:t>
      </w:r>
      <w:r>
        <w:rPr>
          <w:rFonts w:hint="eastAsia" w:ascii="Times New Roman" w:hAnsi="Times New Roman" w:eastAsia="宋体" w:cs="宋体"/>
          <w:i/>
          <w:iCs/>
          <w:color w:val="auto"/>
          <w:kern w:val="0"/>
          <w:sz w:val="21"/>
          <w:szCs w:val="24"/>
          <w:lang w:bidi="ar"/>
        </w:rPr>
        <w:t>s</w:t>
      </w:r>
      <w:r>
        <w:rPr>
          <w:rFonts w:hint="eastAsia" w:ascii="Times New Roman" w:hAnsi="Times New Roman" w:eastAsia="宋体"/>
          <w:color w:val="auto"/>
          <w:kern w:val="0"/>
          <w:sz w:val="21"/>
          <w:szCs w:val="24"/>
          <w:lang w:eastAsia="zh-CN"/>
        </w:rPr>
        <w:t>）</w:t>
      </w:r>
    </w:p>
    <w:tbl>
      <w:tblPr>
        <w:tblStyle w:val="10"/>
        <w:tblW w:w="4998"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85"/>
        <w:gridCol w:w="1134"/>
        <w:gridCol w:w="2073"/>
        <w:gridCol w:w="2073"/>
        <w:gridCol w:w="2073"/>
      </w:tblGrid>
      <w:tr w14:paraId="48A0309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1020" w:type="pct"/>
            <w:tcBorders>
              <w:bottom w:val="single" w:color="auto" w:sz="4" w:space="0"/>
            </w:tcBorders>
            <w:shd w:val="clear" w:color="auto" w:fill="auto"/>
            <w:noWrap/>
            <w:vAlign w:val="center"/>
          </w:tcPr>
          <w:p w14:paraId="10C93011">
            <w:pPr>
              <w:keepNext w:val="0"/>
              <w:keepLines w:val="0"/>
              <w:pageBreakBefore w:val="0"/>
              <w:kinsoku/>
              <w:wordWrap/>
              <w:overflowPunct/>
              <w:topLinePunct w:val="0"/>
              <w:autoSpaceDE/>
              <w:autoSpaceDN/>
              <w:bidi w:val="0"/>
              <w:adjustRightInd/>
              <w:snapToGrid/>
              <w:spacing w:beforeAutospacing="0" w:afterAutospacing="0" w:line="360" w:lineRule="auto"/>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sz w:val="21"/>
                <w:szCs w:val="24"/>
                <w:u w:val="none"/>
                <w:lang w:val="en-US" w:eastAsia="zh-CN"/>
              </w:rPr>
              <w:t>项目</w:t>
            </w:r>
          </w:p>
        </w:tc>
        <w:tc>
          <w:tcPr>
            <w:tcW w:w="614" w:type="pct"/>
            <w:tcBorders>
              <w:bottom w:val="single" w:color="auto" w:sz="4" w:space="0"/>
            </w:tcBorders>
            <w:shd w:val="clear" w:color="auto" w:fill="auto"/>
            <w:vAlign w:val="top"/>
          </w:tcPr>
          <w:p w14:paraId="2F955A2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r>
              <w:rPr>
                <w:rFonts w:hint="eastAsia" w:ascii="Times New Roman" w:hAnsi="Times New Roman" w:eastAsia="宋体" w:cs="Times New Roman"/>
                <w:i w:val="0"/>
                <w:iCs w:val="0"/>
                <w:color w:val="auto"/>
                <w:kern w:val="0"/>
                <w:sz w:val="21"/>
                <w:szCs w:val="24"/>
                <w:u w:val="none"/>
                <w:lang w:val="en-US" w:eastAsia="zh-CN" w:bidi="ar"/>
              </w:rPr>
              <w:t>例数</w:t>
            </w:r>
          </w:p>
        </w:tc>
        <w:tc>
          <w:tcPr>
            <w:tcW w:w="1121" w:type="pct"/>
            <w:tcBorders>
              <w:bottom w:val="single" w:color="auto" w:sz="4" w:space="0"/>
            </w:tcBorders>
            <w:shd w:val="clear" w:color="auto" w:fill="auto"/>
            <w:vAlign w:val="top"/>
          </w:tcPr>
          <w:p w14:paraId="4B68F39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PTA</w:t>
            </w:r>
            <w:r>
              <w:rPr>
                <w:rFonts w:hint="default" w:ascii="Times New Roman" w:hAnsi="Times New Roman" w:eastAsia="宋体" w:cs="Times New Roman"/>
                <w:i w:val="0"/>
                <w:iCs w:val="0"/>
                <w:color w:val="auto"/>
                <w:kern w:val="0"/>
                <w:sz w:val="21"/>
                <w:szCs w:val="24"/>
                <w:u w:val="none"/>
                <w:vertAlign w:val="subscript"/>
                <w:lang w:val="en-US" w:eastAsia="zh-CN" w:bidi="ar"/>
              </w:rPr>
              <w:t>ROM1</w:t>
            </w:r>
          </w:p>
        </w:tc>
        <w:tc>
          <w:tcPr>
            <w:tcW w:w="1121" w:type="pct"/>
            <w:tcBorders>
              <w:bottom w:val="single" w:color="auto" w:sz="4" w:space="0"/>
            </w:tcBorders>
            <w:shd w:val="clear" w:color="auto" w:fill="auto"/>
            <w:vAlign w:val="top"/>
          </w:tcPr>
          <w:p w14:paraId="30E07B2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POA</w:t>
            </w:r>
            <w:r>
              <w:rPr>
                <w:rFonts w:hint="default" w:ascii="Times New Roman" w:hAnsi="Times New Roman" w:eastAsia="宋体" w:cs="Times New Roman"/>
                <w:i w:val="0"/>
                <w:iCs w:val="0"/>
                <w:color w:val="auto"/>
                <w:kern w:val="0"/>
                <w:sz w:val="21"/>
                <w:szCs w:val="24"/>
                <w:u w:val="none"/>
                <w:vertAlign w:val="subscript"/>
                <w:lang w:val="en-US" w:eastAsia="zh-CN" w:bidi="ar"/>
              </w:rPr>
              <w:t>ROM1</w:t>
            </w:r>
          </w:p>
        </w:tc>
        <w:tc>
          <w:tcPr>
            <w:tcW w:w="1121" w:type="pct"/>
            <w:tcBorders>
              <w:bottom w:val="single" w:color="auto" w:sz="4" w:space="0"/>
            </w:tcBorders>
            <w:shd w:val="clear" w:color="auto" w:fill="auto"/>
            <w:vAlign w:val="top"/>
          </w:tcPr>
          <w:p w14:paraId="20910DF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PRA</w:t>
            </w:r>
            <w:r>
              <w:rPr>
                <w:rFonts w:hint="default" w:ascii="Times New Roman" w:hAnsi="Times New Roman" w:eastAsia="宋体" w:cs="Times New Roman"/>
                <w:i w:val="0"/>
                <w:iCs w:val="0"/>
                <w:color w:val="auto"/>
                <w:kern w:val="0"/>
                <w:sz w:val="21"/>
                <w:szCs w:val="24"/>
                <w:u w:val="none"/>
                <w:vertAlign w:val="subscript"/>
                <w:lang w:val="en-US" w:eastAsia="zh-CN" w:bidi="ar"/>
              </w:rPr>
              <w:t>ROM1</w:t>
            </w:r>
          </w:p>
        </w:tc>
      </w:tr>
      <w:tr w14:paraId="78C2AEF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jc w:val="center"/>
        </w:trPr>
        <w:tc>
          <w:tcPr>
            <w:tcW w:w="1020" w:type="pct"/>
            <w:tcBorders>
              <w:top w:val="single" w:color="auto" w:sz="4" w:space="0"/>
            </w:tcBorders>
            <w:shd w:val="clear" w:color="auto" w:fill="auto"/>
            <w:vAlign w:val="top"/>
          </w:tcPr>
          <w:p w14:paraId="7D9642D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偏瘫侧</w:t>
            </w:r>
          </w:p>
        </w:tc>
        <w:tc>
          <w:tcPr>
            <w:tcW w:w="614" w:type="pct"/>
            <w:tcBorders>
              <w:top w:val="single" w:color="auto" w:sz="4" w:space="0"/>
            </w:tcBorders>
            <w:shd w:val="clear" w:color="auto" w:fill="auto"/>
            <w:vAlign w:val="center"/>
          </w:tcPr>
          <w:p w14:paraId="2B76EDB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121" w:type="pct"/>
            <w:tcBorders>
              <w:top w:val="single" w:color="auto" w:sz="4" w:space="0"/>
            </w:tcBorders>
            <w:shd w:val="clear" w:color="auto" w:fill="auto"/>
            <w:vAlign w:val="top"/>
          </w:tcPr>
          <w:p w14:paraId="24CCC45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4.27</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0.3</w:t>
            </w:r>
            <w:r>
              <w:rPr>
                <w:rFonts w:hint="eastAsia" w:ascii="Times New Roman" w:hAnsi="Times New Roman" w:eastAsia="宋体" w:cs="Times New Roman"/>
                <w:i w:val="0"/>
                <w:iCs w:val="0"/>
                <w:color w:val="auto"/>
                <w:kern w:val="0"/>
                <w:sz w:val="21"/>
                <w:szCs w:val="24"/>
                <w:u w:val="none"/>
                <w:lang w:val="en-US" w:eastAsia="zh-CN" w:bidi="ar"/>
              </w:rPr>
              <w:t>7</w:t>
            </w:r>
          </w:p>
        </w:tc>
        <w:tc>
          <w:tcPr>
            <w:tcW w:w="1121" w:type="pct"/>
            <w:tcBorders>
              <w:top w:val="single" w:color="auto" w:sz="4" w:space="0"/>
            </w:tcBorders>
            <w:shd w:val="clear" w:color="auto" w:fill="auto"/>
            <w:vAlign w:val="top"/>
          </w:tcPr>
          <w:p w14:paraId="2E072AD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8.65</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0.82</w:t>
            </w:r>
          </w:p>
        </w:tc>
        <w:tc>
          <w:tcPr>
            <w:tcW w:w="1121" w:type="pct"/>
            <w:tcBorders>
              <w:top w:val="single" w:color="auto" w:sz="4" w:space="0"/>
            </w:tcBorders>
            <w:shd w:val="clear" w:color="auto" w:fill="auto"/>
            <w:vAlign w:val="top"/>
          </w:tcPr>
          <w:p w14:paraId="6ED6634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9.43</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0.75</w:t>
            </w:r>
          </w:p>
        </w:tc>
      </w:tr>
      <w:tr w14:paraId="75ACF31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jc w:val="center"/>
        </w:trPr>
        <w:tc>
          <w:tcPr>
            <w:tcW w:w="1020" w:type="pct"/>
            <w:tcBorders>
              <w:bottom w:val="single" w:color="auto" w:sz="4" w:space="0"/>
            </w:tcBorders>
            <w:shd w:val="clear" w:color="auto" w:fill="auto"/>
            <w:vAlign w:val="top"/>
          </w:tcPr>
          <w:p w14:paraId="62DA927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非偏瘫侧</w:t>
            </w:r>
          </w:p>
        </w:tc>
        <w:tc>
          <w:tcPr>
            <w:tcW w:w="614" w:type="pct"/>
            <w:tcBorders>
              <w:bottom w:val="single" w:color="auto" w:sz="4" w:space="0"/>
            </w:tcBorders>
            <w:shd w:val="clear" w:color="auto" w:fill="auto"/>
            <w:vAlign w:val="center"/>
          </w:tcPr>
          <w:p w14:paraId="637DD36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121" w:type="pct"/>
            <w:tcBorders>
              <w:bottom w:val="single" w:color="auto" w:sz="4" w:space="0"/>
            </w:tcBorders>
            <w:shd w:val="clear" w:color="auto" w:fill="auto"/>
            <w:vAlign w:val="top"/>
          </w:tcPr>
          <w:p w14:paraId="26E450E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4.91</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0.43</w:t>
            </w:r>
          </w:p>
        </w:tc>
        <w:tc>
          <w:tcPr>
            <w:tcW w:w="1121" w:type="pct"/>
            <w:tcBorders>
              <w:bottom w:val="single" w:color="auto" w:sz="4" w:space="0"/>
            </w:tcBorders>
            <w:shd w:val="clear" w:color="auto" w:fill="auto"/>
            <w:vAlign w:val="top"/>
          </w:tcPr>
          <w:p w14:paraId="0240CD3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8.19</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0.7</w:t>
            </w:r>
            <w:r>
              <w:rPr>
                <w:rFonts w:hint="eastAsia" w:ascii="Times New Roman" w:hAnsi="Times New Roman" w:eastAsia="宋体" w:cs="Times New Roman"/>
                <w:i w:val="0"/>
                <w:iCs w:val="0"/>
                <w:color w:val="auto"/>
                <w:kern w:val="0"/>
                <w:sz w:val="21"/>
                <w:szCs w:val="24"/>
                <w:u w:val="none"/>
                <w:lang w:val="en-US" w:eastAsia="zh-CN" w:bidi="ar"/>
              </w:rPr>
              <w:t>4</w:t>
            </w:r>
          </w:p>
        </w:tc>
        <w:tc>
          <w:tcPr>
            <w:tcW w:w="1121" w:type="pct"/>
            <w:tcBorders>
              <w:bottom w:val="single" w:color="auto" w:sz="4" w:space="0"/>
            </w:tcBorders>
            <w:shd w:val="clear" w:color="auto" w:fill="auto"/>
            <w:vAlign w:val="top"/>
          </w:tcPr>
          <w:p w14:paraId="63F92E3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9.72</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0.70</w:t>
            </w:r>
          </w:p>
        </w:tc>
      </w:tr>
      <w:tr w14:paraId="6AB954E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1020" w:type="pct"/>
            <w:tcBorders>
              <w:top w:val="single" w:color="auto" w:sz="4" w:space="0"/>
            </w:tcBorders>
            <w:shd w:val="clear" w:color="auto" w:fill="auto"/>
            <w:vAlign w:val="top"/>
          </w:tcPr>
          <w:p w14:paraId="4EFA0BA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default" w:ascii="Times New Roman" w:hAnsi="Times New Roman" w:eastAsia="宋体" w:cs="Times New Roman"/>
                <w:i/>
                <w:iCs/>
                <w:color w:val="auto"/>
                <w:sz w:val="21"/>
                <w:szCs w:val="24"/>
                <w:u w:val="none"/>
              </w:rPr>
            </w:pPr>
            <w:r>
              <w:rPr>
                <w:rFonts w:hint="default" w:ascii="Times New Roman" w:hAnsi="Times New Roman" w:eastAsia="宋体" w:cs="Times New Roman"/>
                <w:i/>
                <w:iCs/>
                <w:color w:val="auto"/>
                <w:kern w:val="0"/>
                <w:sz w:val="21"/>
                <w:szCs w:val="24"/>
                <w:u w:val="none"/>
                <w:lang w:val="en-US" w:eastAsia="zh-CN" w:bidi="ar"/>
              </w:rPr>
              <w:t>t</w:t>
            </w:r>
            <w:r>
              <w:rPr>
                <w:rFonts w:hint="eastAsia" w:ascii="Times New Roman" w:hAnsi="Times New Roman" w:eastAsia="宋体" w:cs="宋体"/>
                <w:i w:val="0"/>
                <w:iCs w:val="0"/>
                <w:color w:val="auto"/>
                <w:kern w:val="0"/>
                <w:sz w:val="21"/>
                <w:szCs w:val="22"/>
                <w:u w:val="none"/>
                <w:lang w:val="en-US" w:eastAsia="zh-CN" w:bidi="ar"/>
              </w:rPr>
              <w:t>值</w:t>
            </w:r>
          </w:p>
        </w:tc>
        <w:tc>
          <w:tcPr>
            <w:tcW w:w="614" w:type="pct"/>
            <w:tcBorders>
              <w:top w:val="single" w:color="auto" w:sz="4" w:space="0"/>
            </w:tcBorders>
            <w:shd w:val="clear" w:color="auto" w:fill="auto"/>
            <w:vAlign w:val="top"/>
          </w:tcPr>
          <w:p w14:paraId="23809DE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p>
        </w:tc>
        <w:tc>
          <w:tcPr>
            <w:tcW w:w="1121" w:type="pct"/>
            <w:tcBorders>
              <w:top w:val="single" w:color="auto" w:sz="4" w:space="0"/>
            </w:tcBorders>
            <w:shd w:val="clear" w:color="auto" w:fill="auto"/>
            <w:vAlign w:val="top"/>
          </w:tcPr>
          <w:p w14:paraId="461D82C4">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2.829</w:t>
            </w:r>
          </w:p>
        </w:tc>
        <w:tc>
          <w:tcPr>
            <w:tcW w:w="1121" w:type="pct"/>
            <w:tcBorders>
              <w:top w:val="single" w:color="auto" w:sz="4" w:space="0"/>
            </w:tcBorders>
            <w:shd w:val="clear" w:color="auto" w:fill="auto"/>
            <w:vAlign w:val="top"/>
          </w:tcPr>
          <w:p w14:paraId="069C5FF3">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1.599</w:t>
            </w:r>
          </w:p>
        </w:tc>
        <w:tc>
          <w:tcPr>
            <w:tcW w:w="1121" w:type="pct"/>
            <w:tcBorders>
              <w:top w:val="single" w:color="auto" w:sz="4" w:space="0"/>
            </w:tcBorders>
            <w:shd w:val="clear" w:color="auto" w:fill="auto"/>
            <w:vAlign w:val="top"/>
          </w:tcPr>
          <w:p w14:paraId="22DBD9C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0.666</w:t>
            </w:r>
          </w:p>
        </w:tc>
      </w:tr>
      <w:tr w14:paraId="575A1E5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1020" w:type="pct"/>
            <w:tcBorders>
              <w:bottom w:val="single" w:color="auto" w:sz="4" w:space="0"/>
            </w:tcBorders>
            <w:shd w:val="clear" w:color="auto" w:fill="auto"/>
            <w:vAlign w:val="top"/>
          </w:tcPr>
          <w:p w14:paraId="03AD325B">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default" w:ascii="Times New Roman" w:hAnsi="Times New Roman" w:eastAsia="宋体" w:cs="Times New Roman"/>
                <w:i/>
                <w:iCs/>
                <w:color w:val="auto"/>
                <w:sz w:val="21"/>
                <w:szCs w:val="24"/>
                <w:u w:val="none"/>
              </w:rPr>
            </w:pPr>
            <w:r>
              <w:rPr>
                <w:rFonts w:hint="default" w:ascii="Times New Roman" w:hAnsi="Times New Roman" w:eastAsia="宋体" w:cs="Times New Roman"/>
                <w:i/>
                <w:iCs/>
                <w:color w:val="auto"/>
                <w:kern w:val="0"/>
                <w:sz w:val="21"/>
                <w:szCs w:val="24"/>
                <w:u w:val="none"/>
                <w:lang w:val="en-US" w:eastAsia="zh-CN" w:bidi="ar"/>
              </w:rPr>
              <w:t>P</w:t>
            </w:r>
            <w:r>
              <w:rPr>
                <w:rFonts w:hint="eastAsia" w:ascii="Times New Roman" w:hAnsi="Times New Roman" w:eastAsia="宋体" w:cs="宋体"/>
                <w:i w:val="0"/>
                <w:iCs w:val="0"/>
                <w:color w:val="auto"/>
                <w:kern w:val="0"/>
                <w:sz w:val="21"/>
                <w:szCs w:val="22"/>
                <w:u w:val="none"/>
                <w:lang w:val="en-US" w:eastAsia="zh-CN" w:bidi="ar"/>
              </w:rPr>
              <w:t>值</w:t>
            </w:r>
          </w:p>
        </w:tc>
        <w:tc>
          <w:tcPr>
            <w:tcW w:w="614" w:type="pct"/>
            <w:tcBorders>
              <w:bottom w:val="single" w:color="auto" w:sz="4" w:space="0"/>
            </w:tcBorders>
            <w:shd w:val="clear" w:color="auto" w:fill="auto"/>
            <w:vAlign w:val="top"/>
          </w:tcPr>
          <w:p w14:paraId="3CDA3715">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p>
        </w:tc>
        <w:tc>
          <w:tcPr>
            <w:tcW w:w="1121" w:type="pct"/>
            <w:tcBorders>
              <w:bottom w:val="single" w:color="auto" w:sz="4" w:space="0"/>
            </w:tcBorders>
            <w:shd w:val="clear" w:color="auto" w:fill="auto"/>
            <w:vAlign w:val="top"/>
          </w:tcPr>
          <w:p w14:paraId="1DA9699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0.009</w:t>
            </w:r>
          </w:p>
        </w:tc>
        <w:tc>
          <w:tcPr>
            <w:tcW w:w="1121" w:type="pct"/>
            <w:tcBorders>
              <w:bottom w:val="single" w:color="auto" w:sz="4" w:space="0"/>
            </w:tcBorders>
            <w:shd w:val="clear" w:color="auto" w:fill="auto"/>
            <w:vAlign w:val="top"/>
          </w:tcPr>
          <w:p w14:paraId="13940680">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0.123</w:t>
            </w:r>
          </w:p>
        </w:tc>
        <w:tc>
          <w:tcPr>
            <w:tcW w:w="1121" w:type="pct"/>
            <w:tcBorders>
              <w:bottom w:val="single" w:color="auto" w:sz="4" w:space="0"/>
            </w:tcBorders>
            <w:shd w:val="clear" w:color="auto" w:fill="auto"/>
            <w:vAlign w:val="top"/>
          </w:tcPr>
          <w:p w14:paraId="2589459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0.512</w:t>
            </w:r>
          </w:p>
        </w:tc>
      </w:tr>
    </w:tbl>
    <w:p w14:paraId="1380211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360" w:lineRule="auto"/>
        <w:ind w:firstLine="420" w:firstLineChars="200"/>
        <w:rPr>
          <w:rFonts w:hint="eastAsia"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highlight w:val="none"/>
          <w:lang w:val="en-US" w:eastAsia="zh-CN"/>
        </w:rPr>
        <w:t>注：</w:t>
      </w:r>
      <w:r>
        <w:rPr>
          <w:rFonts w:hint="eastAsia" w:ascii="Times New Roman" w:hAnsi="Times New Roman" w:eastAsia="宋体" w:cs="Times New Roman"/>
          <w:color w:val="auto"/>
          <w:kern w:val="0"/>
          <w:sz w:val="21"/>
          <w:szCs w:val="24"/>
          <w:lang w:val="en-US" w:eastAsia="zh-CN" w:bidi="ar-SA"/>
        </w:rPr>
        <w:t>PTA</w:t>
      </w:r>
      <w:r>
        <w:rPr>
          <w:rFonts w:hint="eastAsia" w:ascii="Times New Roman" w:hAnsi="Times New Roman" w:eastAsia="宋体" w:cs="Times New Roman"/>
          <w:color w:val="auto"/>
          <w:kern w:val="0"/>
          <w:sz w:val="21"/>
          <w:szCs w:val="24"/>
          <w:vertAlign w:val="subscript"/>
          <w:lang w:val="en-US" w:eastAsia="zh-CN" w:bidi="ar-SA"/>
        </w:rPr>
        <w:t>ROM1</w:t>
      </w:r>
      <w:r>
        <w:rPr>
          <w:rFonts w:hint="eastAsia" w:ascii="Times New Roman" w:hAnsi="Times New Roman" w:eastAsia="宋体" w:cs="Times New Roman"/>
          <w:color w:val="auto"/>
          <w:kern w:val="0"/>
          <w:sz w:val="21"/>
          <w:szCs w:val="24"/>
          <w:lang w:val="en-US" w:eastAsia="zh-CN" w:bidi="ar-SA"/>
        </w:rPr>
        <w:t>为</w:t>
      </w:r>
      <w:r>
        <w:rPr>
          <w:rFonts w:ascii="Times New Roman" w:hAnsi="Times New Roman" w:eastAsia="宋体"/>
          <w:color w:val="auto"/>
          <w:kern w:val="0"/>
          <w:sz w:val="21"/>
          <w:szCs w:val="24"/>
        </w:rPr>
        <w:t>骨盆</w:t>
      </w:r>
      <w:r>
        <w:rPr>
          <w:rFonts w:hint="eastAsia" w:ascii="Times New Roman" w:hAnsi="Times New Roman" w:eastAsia="宋体" w:cs="Times New Roman"/>
          <w:color w:val="auto"/>
          <w:kern w:val="0"/>
          <w:sz w:val="21"/>
          <w:szCs w:val="24"/>
          <w:lang w:val="en-US" w:eastAsia="zh-CN" w:bidi="ar-SA"/>
        </w:rPr>
        <w:t>前后倾斜活动范围；POA</w:t>
      </w:r>
      <w:r>
        <w:rPr>
          <w:rFonts w:hint="eastAsia" w:ascii="Times New Roman" w:hAnsi="Times New Roman" w:eastAsia="宋体" w:cs="Times New Roman"/>
          <w:color w:val="auto"/>
          <w:kern w:val="0"/>
          <w:sz w:val="21"/>
          <w:szCs w:val="24"/>
          <w:vertAlign w:val="subscript"/>
          <w:lang w:val="en-US" w:eastAsia="zh-CN" w:bidi="ar-SA"/>
        </w:rPr>
        <w:t>ROM1</w:t>
      </w:r>
      <w:r>
        <w:rPr>
          <w:rFonts w:hint="eastAsia" w:ascii="Times New Roman" w:hAnsi="Times New Roman" w:eastAsia="宋体" w:cs="Times New Roman"/>
          <w:color w:val="auto"/>
          <w:kern w:val="0"/>
          <w:sz w:val="21"/>
          <w:szCs w:val="24"/>
          <w:lang w:val="en-US" w:eastAsia="zh-CN" w:bidi="ar-SA"/>
        </w:rPr>
        <w:t>为</w:t>
      </w:r>
      <w:r>
        <w:rPr>
          <w:rFonts w:ascii="Times New Roman" w:hAnsi="Times New Roman" w:eastAsia="宋体"/>
          <w:color w:val="auto"/>
          <w:kern w:val="0"/>
          <w:sz w:val="21"/>
          <w:szCs w:val="24"/>
        </w:rPr>
        <w:t>骨盆</w:t>
      </w:r>
      <w:r>
        <w:rPr>
          <w:rFonts w:hint="eastAsia" w:ascii="Times New Roman" w:hAnsi="Times New Roman" w:eastAsia="宋体" w:cs="Times New Roman"/>
          <w:color w:val="auto"/>
          <w:kern w:val="0"/>
          <w:sz w:val="21"/>
          <w:szCs w:val="24"/>
          <w:lang w:val="en-US" w:eastAsia="zh-CN" w:bidi="ar-SA"/>
        </w:rPr>
        <w:t>侧倾活动范围；PRA</w:t>
      </w:r>
      <w:r>
        <w:rPr>
          <w:rFonts w:hint="eastAsia" w:ascii="Times New Roman" w:hAnsi="Times New Roman" w:eastAsia="宋体" w:cs="Times New Roman"/>
          <w:color w:val="auto"/>
          <w:kern w:val="0"/>
          <w:sz w:val="21"/>
          <w:szCs w:val="24"/>
          <w:vertAlign w:val="subscript"/>
          <w:lang w:val="en-US" w:eastAsia="zh-CN" w:bidi="ar-SA"/>
        </w:rPr>
        <w:t>ROM1</w:t>
      </w:r>
      <w:r>
        <w:rPr>
          <w:rFonts w:hint="eastAsia" w:ascii="Times New Roman" w:hAnsi="Times New Roman" w:eastAsia="宋体" w:cs="Times New Roman"/>
          <w:color w:val="auto"/>
          <w:kern w:val="0"/>
          <w:sz w:val="21"/>
          <w:szCs w:val="24"/>
          <w:lang w:val="en-US" w:eastAsia="zh-CN" w:bidi="ar-SA"/>
        </w:rPr>
        <w:t>为</w:t>
      </w:r>
      <w:r>
        <w:rPr>
          <w:rFonts w:ascii="Times New Roman" w:hAnsi="Times New Roman" w:eastAsia="宋体"/>
          <w:color w:val="auto"/>
          <w:kern w:val="0"/>
          <w:sz w:val="21"/>
          <w:szCs w:val="24"/>
        </w:rPr>
        <w:t>骨盆</w:t>
      </w:r>
      <w:r>
        <w:rPr>
          <w:rFonts w:hint="eastAsia" w:ascii="Times New Roman" w:hAnsi="Times New Roman" w:eastAsia="宋体" w:cs="Times New Roman"/>
          <w:color w:val="auto"/>
          <w:kern w:val="0"/>
          <w:sz w:val="21"/>
          <w:szCs w:val="24"/>
          <w:lang w:val="en-US" w:eastAsia="zh-CN" w:bidi="ar-SA"/>
        </w:rPr>
        <w:t xml:space="preserve">旋转活动范围 </w:t>
      </w:r>
    </w:p>
    <w:p w14:paraId="0C73808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left"/>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（三）</w:t>
      </w:r>
      <w:r>
        <w:rPr>
          <w:rFonts w:ascii="Times New Roman" w:hAnsi="Times New Roman" w:eastAsia="宋体"/>
          <w:color w:val="auto"/>
          <w:kern w:val="0"/>
          <w:sz w:val="21"/>
          <w:szCs w:val="24"/>
        </w:rPr>
        <w:t xml:space="preserve">骨盆三轴活动差值比较  </w:t>
      </w:r>
    </w:p>
    <w:p w14:paraId="4616F278">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highlight w:val="none"/>
          <w:lang w:eastAsia="zh-CN"/>
        </w:rPr>
        <w:t>在</w:t>
      </w:r>
      <w:r>
        <w:rPr>
          <w:rFonts w:ascii="Times New Roman" w:hAnsi="Times New Roman" w:eastAsia="宋体"/>
          <w:color w:val="auto"/>
          <w:kern w:val="0"/>
          <w:sz w:val="21"/>
          <w:szCs w:val="24"/>
          <w:highlight w:val="none"/>
        </w:rPr>
        <w:t>步行末期与步行初期</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偏瘫侧PTA</w:t>
      </w:r>
      <w:r>
        <w:rPr>
          <w:rFonts w:ascii="Times New Roman" w:hAnsi="Times New Roman" w:eastAsia="宋体"/>
          <w:color w:val="auto"/>
          <w:kern w:val="0"/>
          <w:sz w:val="21"/>
          <w:szCs w:val="24"/>
          <w:highlight w:val="none"/>
          <w:vertAlign w:val="subscript"/>
        </w:rPr>
        <w:t>ROM3-1</w:t>
      </w:r>
      <w:r>
        <w:rPr>
          <w:rFonts w:ascii="Times New Roman" w:hAnsi="Times New Roman" w:eastAsia="宋体"/>
          <w:color w:val="auto"/>
          <w:kern w:val="0"/>
          <w:sz w:val="21"/>
          <w:szCs w:val="24"/>
          <w:highlight w:val="none"/>
        </w:rPr>
        <w:t>活动差值</w:t>
      </w:r>
      <w:r>
        <w:rPr>
          <w:rFonts w:hint="eastAsia" w:ascii="Times New Roman" w:hAnsi="Times New Roman" w:eastAsia="宋体"/>
          <w:color w:val="auto"/>
          <w:kern w:val="0"/>
          <w:sz w:val="21"/>
          <w:szCs w:val="24"/>
          <w:highlight w:val="none"/>
          <w:vertAlign w:val="baseline"/>
          <w:lang w:val="en-US" w:eastAsia="zh-CN"/>
        </w:rPr>
        <w:t>较</w:t>
      </w:r>
      <w:r>
        <w:rPr>
          <w:rFonts w:ascii="Times New Roman" w:hAnsi="Times New Roman" w:eastAsia="宋体"/>
          <w:color w:val="auto"/>
          <w:kern w:val="0"/>
          <w:sz w:val="21"/>
          <w:szCs w:val="24"/>
          <w:highlight w:val="none"/>
        </w:rPr>
        <w:t>非偏瘫侧增大，</w:t>
      </w:r>
      <w:r>
        <w:rPr>
          <w:rFonts w:hint="eastAsia" w:ascii="Times New Roman" w:hAnsi="Times New Roman" w:eastAsia="宋体"/>
          <w:color w:val="auto"/>
          <w:kern w:val="0"/>
          <w:sz w:val="21"/>
          <w:szCs w:val="24"/>
          <w:highlight w:val="none"/>
          <w:lang w:eastAsia="zh-CN"/>
        </w:rPr>
        <w:t>2组</w:t>
      </w:r>
      <w:r>
        <w:rPr>
          <w:rFonts w:ascii="Times New Roman" w:hAnsi="Times New Roman" w:eastAsia="宋体"/>
          <w:color w:val="auto"/>
          <w:kern w:val="0"/>
          <w:sz w:val="21"/>
          <w:szCs w:val="24"/>
          <w:highlight w:val="none"/>
        </w:rPr>
        <w:t>间</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highlight w:val="none"/>
        </w:rPr>
        <w:t>差异有统计学意义（</w:t>
      </w:r>
      <w:r>
        <w:rPr>
          <w:rFonts w:ascii="Times New Roman" w:hAnsi="Times New Roman" w:eastAsia="宋体"/>
          <w:i/>
          <w:iCs/>
          <w:color w:val="auto"/>
          <w:kern w:val="0"/>
          <w:sz w:val="21"/>
          <w:szCs w:val="24"/>
          <w:highlight w:val="none"/>
        </w:rPr>
        <w:t>t</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3.</w:t>
      </w:r>
      <w:r>
        <w:rPr>
          <w:rFonts w:ascii="Times New Roman" w:hAnsi="Times New Roman" w:eastAsia="宋体"/>
          <w:color w:val="auto"/>
          <w:kern w:val="0"/>
          <w:sz w:val="21"/>
          <w:szCs w:val="24"/>
          <w:highlight w:val="none"/>
        </w:rPr>
        <w:t>263，</w:t>
      </w:r>
      <w:r>
        <w:rPr>
          <w:rFonts w:ascii="Times New Roman" w:hAnsi="Times New Roman" w:eastAsia="宋体"/>
          <w:i/>
          <w:iCs/>
          <w:color w:val="auto"/>
          <w:kern w:val="0"/>
          <w:sz w:val="21"/>
          <w:szCs w:val="24"/>
          <w:highlight w:val="none"/>
        </w:rPr>
        <w:t>P</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0.</w:t>
      </w:r>
      <w:r>
        <w:rPr>
          <w:rFonts w:ascii="Times New Roman" w:hAnsi="Times New Roman" w:eastAsia="宋体"/>
          <w:color w:val="auto"/>
          <w:kern w:val="0"/>
          <w:sz w:val="21"/>
          <w:szCs w:val="24"/>
          <w:highlight w:val="none"/>
        </w:rPr>
        <w:t>003）。</w:t>
      </w:r>
      <w:r>
        <w:rPr>
          <w:rFonts w:hint="eastAsia" w:ascii="Times New Roman" w:hAnsi="Times New Roman" w:eastAsia="宋体"/>
          <w:color w:val="auto"/>
          <w:kern w:val="0"/>
          <w:sz w:val="21"/>
          <w:szCs w:val="24"/>
          <w:lang w:eastAsia="zh-CN"/>
        </w:rPr>
        <w:t>2组</w:t>
      </w:r>
      <w:r>
        <w:rPr>
          <w:rFonts w:ascii="Times New Roman" w:hAnsi="Times New Roman" w:eastAsia="宋体"/>
          <w:color w:val="auto"/>
          <w:kern w:val="0"/>
          <w:sz w:val="21"/>
          <w:szCs w:val="24"/>
        </w:rPr>
        <w:t>间</w:t>
      </w:r>
      <w:r>
        <w:rPr>
          <w:rFonts w:ascii="Times New Roman" w:hAnsi="Times New Roman" w:eastAsia="宋体"/>
          <w:color w:val="auto"/>
          <w:kern w:val="0"/>
          <w:sz w:val="21"/>
          <w:szCs w:val="24"/>
          <w:lang w:bidi="ar"/>
        </w:rPr>
        <w:t>POA</w:t>
      </w:r>
      <w:r>
        <w:rPr>
          <w:rFonts w:ascii="Times New Roman" w:hAnsi="Times New Roman" w:eastAsia="宋体"/>
          <w:color w:val="auto"/>
          <w:kern w:val="0"/>
          <w:sz w:val="21"/>
          <w:szCs w:val="24"/>
          <w:vertAlign w:val="subscript"/>
          <w:lang w:bidi="ar"/>
        </w:rPr>
        <w:t>ROM3-1</w:t>
      </w:r>
      <w:r>
        <w:rPr>
          <w:rFonts w:ascii="Times New Roman" w:hAnsi="Times New Roman" w:eastAsia="宋体"/>
          <w:color w:val="auto"/>
          <w:kern w:val="0"/>
          <w:sz w:val="21"/>
          <w:szCs w:val="24"/>
        </w:rPr>
        <w:t>和</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ROM3-1</w:t>
      </w:r>
      <w:r>
        <w:rPr>
          <w:rFonts w:ascii="Times New Roman" w:hAnsi="Times New Roman" w:eastAsia="宋体"/>
          <w:color w:val="auto"/>
          <w:kern w:val="0"/>
          <w:sz w:val="21"/>
          <w:szCs w:val="24"/>
        </w:rPr>
        <w:t>活动差值</w:t>
      </w:r>
      <w:r>
        <w:rPr>
          <w:rFonts w:hint="eastAsia" w:ascii="Times New Roman" w:hAnsi="Times New Roman" w:eastAsia="宋体"/>
          <w:color w:val="auto"/>
          <w:kern w:val="0"/>
          <w:sz w:val="21"/>
          <w:szCs w:val="24"/>
          <w:lang w:val="en-US" w:eastAsia="zh-CN"/>
        </w:rPr>
        <w:t>比较，</w:t>
      </w:r>
      <w:r>
        <w:rPr>
          <w:rFonts w:ascii="Times New Roman" w:hAnsi="Times New Roman" w:eastAsia="宋体"/>
          <w:color w:val="auto"/>
          <w:kern w:val="0"/>
          <w:sz w:val="21"/>
          <w:szCs w:val="24"/>
        </w:rPr>
        <w:t>差异</w:t>
      </w:r>
      <w:r>
        <w:rPr>
          <w:rFonts w:hint="eastAsia" w:ascii="Times New Roman" w:hAnsi="Times New Roman" w:eastAsia="宋体"/>
          <w:i w:val="0"/>
          <w:iCs w:val="0"/>
          <w:color w:val="auto"/>
          <w:kern w:val="0"/>
          <w:sz w:val="21"/>
          <w:szCs w:val="24"/>
          <w:highlight w:val="none"/>
          <w:lang w:eastAsia="zh-CN"/>
        </w:rPr>
        <w:t>均</w:t>
      </w:r>
      <w:r>
        <w:rPr>
          <w:rFonts w:hint="eastAsia" w:ascii="Times New Roman" w:hAnsi="Times New Roman" w:eastAsia="宋体"/>
          <w:color w:val="auto"/>
          <w:kern w:val="0"/>
          <w:sz w:val="21"/>
          <w:szCs w:val="24"/>
          <w:lang w:val="en-US" w:eastAsia="zh-CN"/>
        </w:rPr>
        <w:t>无</w:t>
      </w:r>
      <w:r>
        <w:rPr>
          <w:rFonts w:ascii="Times New Roman" w:hAnsi="Times New Roman" w:eastAsia="宋体"/>
          <w:color w:val="auto"/>
          <w:kern w:val="0"/>
          <w:sz w:val="21"/>
          <w:szCs w:val="24"/>
        </w:rPr>
        <w:t>统计学意义</w:t>
      </w:r>
      <w:r>
        <w:rPr>
          <w:rFonts w:hint="eastAsia" w:ascii="Times New Roman" w:hAnsi="Times New Roman" w:eastAsia="宋体"/>
          <w:color w:val="auto"/>
          <w:kern w:val="0"/>
          <w:sz w:val="21"/>
          <w:szCs w:val="24"/>
          <w:lang w:eastAsia="zh-CN"/>
        </w:rPr>
        <w:t>（</w:t>
      </w:r>
      <w:r>
        <w:rPr>
          <w:rFonts w:ascii="Times New Roman" w:hAnsi="Times New Roman" w:eastAsia="宋体"/>
          <w:i/>
          <w:iCs/>
          <w:color w:val="auto"/>
          <w:kern w:val="0"/>
          <w:sz w:val="21"/>
          <w:szCs w:val="24"/>
        </w:rPr>
        <w:t>P</w:t>
      </w:r>
      <w:r>
        <w:rPr>
          <w:rFonts w:hint="eastAsia" w:ascii="Times New Roman" w:hAnsi="Times New Roman" w:eastAsia="宋体"/>
          <w:i w:val="0"/>
          <w:iCs w:val="0"/>
          <w:color w:val="auto"/>
          <w:kern w:val="0"/>
          <w:sz w:val="21"/>
          <w:szCs w:val="24"/>
          <w:highlight w:val="none"/>
          <w:lang w:eastAsia="zh-CN"/>
        </w:rPr>
        <w:t>均</w:t>
      </w:r>
      <w:r>
        <w:rPr>
          <w:rFonts w:hint="eastAsia" w:ascii="Times New Roman" w:hAnsi="Times New Roman" w:eastAsia="宋体"/>
          <w:color w:val="auto"/>
          <w:kern w:val="0"/>
          <w:sz w:val="21"/>
          <w:szCs w:val="24"/>
          <w:lang w:val="en-US" w:eastAsia="zh-CN"/>
        </w:rPr>
        <w:t>＞0.05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表</w:t>
      </w:r>
      <w:r>
        <w:rPr>
          <w:rFonts w:hint="eastAsia" w:ascii="Times New Roman" w:hAnsi="Times New Roman" w:eastAsia="宋体"/>
          <w:color w:val="auto"/>
          <w:kern w:val="0"/>
          <w:sz w:val="21"/>
          <w:szCs w:val="24"/>
          <w:lang w:val="en-US" w:eastAsia="zh-CN"/>
        </w:rPr>
        <w:t>4</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w:t>
      </w:r>
    </w:p>
    <w:p w14:paraId="5355DF2B">
      <w:pPr>
        <w:pStyle w:val="2"/>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kern w:val="0"/>
          <w:sz w:val="21"/>
          <w:szCs w:val="24"/>
          <w:lang w:eastAsia="zh-CN"/>
        </w:rPr>
      </w:pPr>
      <w:r>
        <w:rPr>
          <w:rFonts w:ascii="Times New Roman" w:hAnsi="Times New Roman" w:eastAsia="宋体"/>
          <w:b/>
          <w:bCs/>
          <w:color w:val="auto"/>
          <w:sz w:val="21"/>
          <w:szCs w:val="24"/>
        </w:rPr>
        <w:t>表</w:t>
      </w:r>
      <w:r>
        <w:rPr>
          <w:rFonts w:ascii="Times New Roman" w:hAnsi="Times New Roman" w:eastAsia="宋体"/>
          <w:b/>
          <w:bCs/>
          <w:color w:val="auto"/>
          <w:sz w:val="21"/>
          <w:szCs w:val="24"/>
        </w:rPr>
        <w:fldChar w:fldCharType="begin"/>
      </w:r>
      <w:r>
        <w:rPr>
          <w:rFonts w:ascii="Times New Roman" w:hAnsi="Times New Roman" w:eastAsia="宋体"/>
          <w:b/>
          <w:bCs/>
          <w:color w:val="auto"/>
          <w:sz w:val="21"/>
          <w:szCs w:val="24"/>
        </w:rPr>
        <w:instrText xml:space="preserve"> SEQ 表 \* ARABIC </w:instrText>
      </w:r>
      <w:r>
        <w:rPr>
          <w:rFonts w:ascii="Times New Roman" w:hAnsi="Times New Roman" w:eastAsia="宋体"/>
          <w:b/>
          <w:bCs/>
          <w:color w:val="auto"/>
          <w:sz w:val="21"/>
          <w:szCs w:val="24"/>
        </w:rPr>
        <w:fldChar w:fldCharType="separate"/>
      </w:r>
      <w:r>
        <w:rPr>
          <w:rFonts w:ascii="Times New Roman" w:hAnsi="Times New Roman" w:eastAsia="宋体"/>
          <w:b/>
          <w:bCs/>
          <w:color w:val="auto"/>
          <w:sz w:val="21"/>
          <w:szCs w:val="24"/>
        </w:rPr>
        <w:t>4</w:t>
      </w:r>
      <w:r>
        <w:rPr>
          <w:rFonts w:ascii="Times New Roman" w:hAnsi="Times New Roman" w:eastAsia="宋体"/>
          <w:b/>
          <w:bCs/>
          <w:color w:val="auto"/>
          <w:sz w:val="21"/>
          <w:szCs w:val="24"/>
        </w:rPr>
        <w:fldChar w:fldCharType="end"/>
      </w:r>
      <w:r>
        <w:rPr>
          <w:rFonts w:hint="eastAsia" w:ascii="Times New Roman" w:hAnsi="Times New Roman" w:eastAsia="宋体"/>
          <w:color w:val="auto"/>
          <w:sz w:val="21"/>
          <w:szCs w:val="24"/>
          <w:lang w:val="en-US" w:eastAsia="zh-CN"/>
        </w:rPr>
        <w:t xml:space="preserve">   </w:t>
      </w:r>
      <w:r>
        <w:rPr>
          <w:rFonts w:hint="eastAsia" w:ascii="Times New Roman" w:hAnsi="Times New Roman" w:eastAsia="宋体" w:cs="宋体"/>
          <w:i w:val="0"/>
          <w:iCs w:val="0"/>
          <w:color w:val="auto"/>
          <w:kern w:val="0"/>
          <w:sz w:val="21"/>
          <w:szCs w:val="24"/>
          <w:u w:val="none"/>
          <w:lang w:val="en-US" w:eastAsia="zh-CN" w:bidi="ar"/>
        </w:rPr>
        <w:t>偏瘫侧和非偏瘫侧</w:t>
      </w:r>
      <w:r>
        <w:rPr>
          <w:rFonts w:ascii="Times New Roman" w:hAnsi="Times New Roman" w:eastAsia="宋体"/>
          <w:color w:val="auto"/>
          <w:kern w:val="0"/>
          <w:sz w:val="21"/>
          <w:szCs w:val="24"/>
        </w:rPr>
        <w:t>骨盆三轴</w:t>
      </w:r>
      <w:r>
        <w:rPr>
          <w:rFonts w:ascii="Times New Roman" w:hAnsi="Times New Roman" w:eastAsia="宋体"/>
          <w:color w:val="auto"/>
          <w:kern w:val="0"/>
          <w:sz w:val="21"/>
          <w:szCs w:val="24"/>
          <w:highlight w:val="none"/>
        </w:rPr>
        <w:t>活动</w:t>
      </w:r>
      <w:r>
        <w:rPr>
          <w:rFonts w:hint="eastAsia" w:ascii="Times New Roman" w:hAnsi="Times New Roman" w:eastAsia="宋体"/>
          <w:color w:val="auto"/>
          <w:kern w:val="0"/>
          <w:sz w:val="21"/>
          <w:szCs w:val="24"/>
          <w:highlight w:val="none"/>
          <w:lang w:val="en-US" w:eastAsia="zh-CN"/>
        </w:rPr>
        <w:t>范围</w:t>
      </w:r>
      <w:r>
        <w:rPr>
          <w:rFonts w:ascii="Times New Roman" w:hAnsi="Times New Roman" w:eastAsia="宋体"/>
          <w:color w:val="auto"/>
          <w:kern w:val="0"/>
          <w:sz w:val="21"/>
          <w:szCs w:val="24"/>
          <w:highlight w:val="none"/>
        </w:rPr>
        <w:t>差值</w:t>
      </w:r>
      <w:r>
        <w:rPr>
          <w:rFonts w:ascii="Times New Roman" w:hAnsi="Times New Roman" w:eastAsia="宋体"/>
          <w:color w:val="auto"/>
          <w:kern w:val="0"/>
          <w:sz w:val="21"/>
          <w:szCs w:val="24"/>
        </w:rPr>
        <w:t>比较</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highlight w:val="none"/>
          <w:lang w:val="en-US" w:eastAsia="zh-CN"/>
        </w:rPr>
        <w:t>°，</w:t>
      </w:r>
      <w:r>
        <w:rPr>
          <w:rFonts w:ascii="Times New Roman" w:hAnsi="Times New Roman" w:eastAsia="宋体"/>
          <w:color w:val="auto"/>
          <w:position w:val="-10"/>
          <w:sz w:val="21"/>
          <w:szCs w:val="24"/>
        </w:rPr>
        <w:object>
          <v:shape id="_x0000_i1033" o:spt="75" type="#_x0000_t75" style="height:13.8pt;width:7.2pt;" o:ole="t" filled="f" o:preferrelative="t" stroked="f" coordsize="21600,21600">
            <v:path/>
            <v:fill on="f" focussize="0,0"/>
            <v:stroke on="f" joinstyle="miter"/>
            <v:imagedata r:id="rId13" o:title=""/>
            <o:lock v:ext="edit" aspectratio="t"/>
            <w10:wrap type="none"/>
            <w10:anchorlock/>
          </v:shape>
          <o:OLEObject Type="Embed" ProgID="Equation.3" ShapeID="_x0000_i1033" DrawAspect="Content" ObjectID="_1468075733" r:id="rId14">
            <o:LockedField>false</o:LockedField>
          </o:OLEObject>
        </w:object>
      </w:r>
      <w:r>
        <w:rPr>
          <w:rFonts w:hint="eastAsia" w:ascii="Times New Roman" w:hAnsi="Times New Roman" w:eastAsia="宋体" w:cs="宋体"/>
          <w:color w:val="auto"/>
          <w:kern w:val="0"/>
          <w:sz w:val="21"/>
          <w:szCs w:val="24"/>
          <w:lang w:bidi="ar"/>
        </w:rPr>
        <w:t>±</w:t>
      </w:r>
      <w:r>
        <w:rPr>
          <w:rFonts w:hint="eastAsia" w:ascii="Times New Roman" w:hAnsi="Times New Roman" w:eastAsia="宋体" w:cs="宋体"/>
          <w:i/>
          <w:iCs/>
          <w:color w:val="auto"/>
          <w:kern w:val="0"/>
          <w:sz w:val="21"/>
          <w:szCs w:val="24"/>
          <w:lang w:bidi="ar"/>
        </w:rPr>
        <w:t>s</w:t>
      </w:r>
      <w:r>
        <w:rPr>
          <w:rFonts w:hint="eastAsia" w:ascii="Times New Roman" w:hAnsi="Times New Roman" w:eastAsia="宋体"/>
          <w:color w:val="auto"/>
          <w:kern w:val="0"/>
          <w:sz w:val="21"/>
          <w:szCs w:val="24"/>
          <w:lang w:eastAsia="zh-CN"/>
        </w:rPr>
        <w:t>）</w:t>
      </w:r>
    </w:p>
    <w:tbl>
      <w:tblPr>
        <w:tblStyle w:val="10"/>
        <w:tblW w:w="4998"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59"/>
        <w:gridCol w:w="1059"/>
        <w:gridCol w:w="2140"/>
        <w:gridCol w:w="2140"/>
        <w:gridCol w:w="2140"/>
      </w:tblGrid>
      <w:tr w14:paraId="6AB4FA2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jc w:val="center"/>
        </w:trPr>
        <w:tc>
          <w:tcPr>
            <w:tcW w:w="952" w:type="pct"/>
            <w:tcBorders>
              <w:bottom w:val="single" w:color="auto" w:sz="4" w:space="0"/>
            </w:tcBorders>
            <w:shd w:val="clear" w:color="auto" w:fill="auto"/>
            <w:noWrap/>
            <w:vAlign w:val="center"/>
          </w:tcPr>
          <w:p w14:paraId="23B58814">
            <w:pPr>
              <w:keepNext w:val="0"/>
              <w:keepLines w:val="0"/>
              <w:pageBreakBefore w:val="0"/>
              <w:kinsoku/>
              <w:wordWrap/>
              <w:overflowPunct/>
              <w:topLinePunct w:val="0"/>
              <w:autoSpaceDE/>
              <w:autoSpaceDN/>
              <w:bidi w:val="0"/>
              <w:adjustRightInd/>
              <w:snapToGrid/>
              <w:spacing w:beforeAutospacing="0" w:afterAutospacing="0" w:line="360" w:lineRule="auto"/>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sz w:val="21"/>
                <w:szCs w:val="24"/>
                <w:u w:val="none"/>
                <w:lang w:val="en-US" w:eastAsia="zh-CN"/>
              </w:rPr>
              <w:t>项目</w:t>
            </w:r>
          </w:p>
        </w:tc>
        <w:tc>
          <w:tcPr>
            <w:tcW w:w="573" w:type="pct"/>
            <w:tcBorders>
              <w:bottom w:val="single" w:color="auto" w:sz="4" w:space="0"/>
            </w:tcBorders>
            <w:shd w:val="clear" w:color="auto" w:fill="auto"/>
            <w:vAlign w:val="top"/>
          </w:tcPr>
          <w:p w14:paraId="228178A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r>
              <w:rPr>
                <w:rFonts w:hint="eastAsia" w:ascii="Times New Roman" w:hAnsi="Times New Roman" w:eastAsia="宋体" w:cs="Times New Roman"/>
                <w:i w:val="0"/>
                <w:iCs w:val="0"/>
                <w:color w:val="auto"/>
                <w:kern w:val="0"/>
                <w:sz w:val="21"/>
                <w:szCs w:val="24"/>
                <w:u w:val="none"/>
                <w:lang w:val="en-US" w:eastAsia="zh-CN" w:bidi="ar"/>
              </w:rPr>
              <w:t>例数</w:t>
            </w:r>
          </w:p>
        </w:tc>
        <w:tc>
          <w:tcPr>
            <w:tcW w:w="1158" w:type="pct"/>
            <w:tcBorders>
              <w:bottom w:val="single" w:color="auto" w:sz="4" w:space="0"/>
            </w:tcBorders>
            <w:shd w:val="clear" w:color="auto" w:fill="auto"/>
            <w:vAlign w:val="top"/>
          </w:tcPr>
          <w:p w14:paraId="48B3EC2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PTA</w:t>
            </w:r>
            <w:r>
              <w:rPr>
                <w:rFonts w:hint="default" w:ascii="Times New Roman" w:hAnsi="Times New Roman" w:eastAsia="宋体" w:cs="Times New Roman"/>
                <w:i w:val="0"/>
                <w:iCs w:val="0"/>
                <w:color w:val="auto"/>
                <w:kern w:val="0"/>
                <w:sz w:val="21"/>
                <w:szCs w:val="24"/>
                <w:u w:val="none"/>
                <w:vertAlign w:val="subscript"/>
                <w:lang w:val="en-US" w:eastAsia="zh-CN" w:bidi="ar"/>
              </w:rPr>
              <w:t>ROM3-1</w:t>
            </w:r>
          </w:p>
        </w:tc>
        <w:tc>
          <w:tcPr>
            <w:tcW w:w="1158" w:type="pct"/>
            <w:tcBorders>
              <w:bottom w:val="single" w:color="auto" w:sz="4" w:space="0"/>
            </w:tcBorders>
            <w:shd w:val="clear" w:color="auto" w:fill="auto"/>
            <w:vAlign w:val="top"/>
          </w:tcPr>
          <w:p w14:paraId="6EA9CFD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POA</w:t>
            </w:r>
            <w:r>
              <w:rPr>
                <w:rFonts w:hint="default" w:ascii="Times New Roman" w:hAnsi="Times New Roman" w:eastAsia="宋体" w:cs="Times New Roman"/>
                <w:i w:val="0"/>
                <w:iCs w:val="0"/>
                <w:color w:val="auto"/>
                <w:kern w:val="0"/>
                <w:sz w:val="21"/>
                <w:szCs w:val="24"/>
                <w:u w:val="none"/>
                <w:vertAlign w:val="subscript"/>
                <w:lang w:val="en-US" w:eastAsia="zh-CN" w:bidi="ar"/>
              </w:rPr>
              <w:t>ROM3-1</w:t>
            </w:r>
          </w:p>
        </w:tc>
        <w:tc>
          <w:tcPr>
            <w:tcW w:w="1158" w:type="pct"/>
            <w:tcBorders>
              <w:bottom w:val="single" w:color="auto" w:sz="4" w:space="0"/>
            </w:tcBorders>
            <w:shd w:val="clear" w:color="auto" w:fill="auto"/>
            <w:vAlign w:val="top"/>
          </w:tcPr>
          <w:p w14:paraId="1CF1C748">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PRA</w:t>
            </w:r>
            <w:r>
              <w:rPr>
                <w:rFonts w:hint="default" w:ascii="Times New Roman" w:hAnsi="Times New Roman" w:eastAsia="宋体" w:cs="Times New Roman"/>
                <w:i w:val="0"/>
                <w:iCs w:val="0"/>
                <w:color w:val="auto"/>
                <w:kern w:val="0"/>
                <w:sz w:val="21"/>
                <w:szCs w:val="24"/>
                <w:u w:val="none"/>
                <w:vertAlign w:val="subscript"/>
                <w:lang w:val="en-US" w:eastAsia="zh-CN" w:bidi="ar"/>
              </w:rPr>
              <w:t>ROM3-1</w:t>
            </w:r>
          </w:p>
        </w:tc>
      </w:tr>
      <w:tr w14:paraId="54B7AFA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952" w:type="pct"/>
            <w:tcBorders>
              <w:top w:val="single" w:color="auto" w:sz="4" w:space="0"/>
            </w:tcBorders>
            <w:shd w:val="clear" w:color="auto" w:fill="auto"/>
            <w:vAlign w:val="top"/>
          </w:tcPr>
          <w:p w14:paraId="10177ECC">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偏瘫侧</w:t>
            </w:r>
          </w:p>
        </w:tc>
        <w:tc>
          <w:tcPr>
            <w:tcW w:w="573" w:type="pct"/>
            <w:tcBorders>
              <w:top w:val="single" w:color="auto" w:sz="4" w:space="0"/>
            </w:tcBorders>
            <w:shd w:val="clear" w:color="auto" w:fill="auto"/>
            <w:vAlign w:val="center"/>
          </w:tcPr>
          <w:p w14:paraId="3CC1D402">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Times New Roman"/>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158" w:type="pct"/>
            <w:tcBorders>
              <w:top w:val="single" w:color="auto" w:sz="4" w:space="0"/>
            </w:tcBorders>
            <w:shd w:val="clear" w:color="auto" w:fill="auto"/>
            <w:vAlign w:val="top"/>
          </w:tcPr>
          <w:p w14:paraId="0F6936A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0.50</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0.15</w:t>
            </w:r>
          </w:p>
        </w:tc>
        <w:tc>
          <w:tcPr>
            <w:tcW w:w="1158" w:type="pct"/>
            <w:tcBorders>
              <w:top w:val="single" w:color="auto" w:sz="4" w:space="0"/>
            </w:tcBorders>
            <w:shd w:val="clear" w:color="auto" w:fill="auto"/>
            <w:vAlign w:val="top"/>
          </w:tcPr>
          <w:p w14:paraId="5F27CDD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0.36</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0.44</w:t>
            </w:r>
          </w:p>
        </w:tc>
        <w:tc>
          <w:tcPr>
            <w:tcW w:w="1158" w:type="pct"/>
            <w:tcBorders>
              <w:top w:val="single" w:color="auto" w:sz="4" w:space="0"/>
            </w:tcBorders>
            <w:shd w:val="clear" w:color="auto" w:fill="auto"/>
            <w:vAlign w:val="top"/>
          </w:tcPr>
          <w:p w14:paraId="688BFC8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1.58</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0.5</w:t>
            </w:r>
            <w:r>
              <w:rPr>
                <w:rFonts w:hint="eastAsia" w:ascii="Times New Roman" w:hAnsi="Times New Roman" w:eastAsia="宋体" w:cs="Times New Roman"/>
                <w:i w:val="0"/>
                <w:iCs w:val="0"/>
                <w:color w:val="auto"/>
                <w:kern w:val="0"/>
                <w:sz w:val="21"/>
                <w:szCs w:val="24"/>
                <w:u w:val="none"/>
                <w:lang w:val="en-US" w:eastAsia="zh-CN" w:bidi="ar"/>
              </w:rPr>
              <w:t>1</w:t>
            </w:r>
          </w:p>
        </w:tc>
      </w:tr>
      <w:tr w14:paraId="5BAEC9F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952" w:type="pct"/>
            <w:tcBorders>
              <w:bottom w:val="single" w:color="auto" w:sz="4" w:space="0"/>
            </w:tcBorders>
            <w:shd w:val="clear" w:color="auto" w:fill="auto"/>
            <w:vAlign w:val="top"/>
          </w:tcPr>
          <w:p w14:paraId="2D2FBE9A">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非偏瘫侧</w:t>
            </w:r>
          </w:p>
        </w:tc>
        <w:tc>
          <w:tcPr>
            <w:tcW w:w="573" w:type="pct"/>
            <w:tcBorders>
              <w:bottom w:val="single" w:color="auto" w:sz="4" w:space="0"/>
            </w:tcBorders>
            <w:shd w:val="clear" w:color="auto" w:fill="auto"/>
            <w:vAlign w:val="center"/>
          </w:tcPr>
          <w:p w14:paraId="3B2E6D0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kern w:val="0"/>
                <w:sz w:val="21"/>
                <w:szCs w:val="24"/>
                <w:u w:val="none"/>
                <w:lang w:val="en-US" w:eastAsia="zh-CN" w:bidi="ar"/>
              </w:rPr>
            </w:pPr>
            <w:r>
              <w:rPr>
                <w:rStyle w:val="28"/>
                <w:rFonts w:ascii="Times New Roman" w:hAnsi="Times New Roman" w:eastAsia="宋体"/>
                <w:color w:val="auto"/>
                <w:sz w:val="21"/>
                <w:lang w:val="en-US" w:eastAsia="zh-CN" w:bidi="ar"/>
              </w:rPr>
              <w:t>25</w:t>
            </w:r>
          </w:p>
        </w:tc>
        <w:tc>
          <w:tcPr>
            <w:tcW w:w="1158" w:type="pct"/>
            <w:tcBorders>
              <w:bottom w:val="single" w:color="auto" w:sz="4" w:space="0"/>
            </w:tcBorders>
            <w:shd w:val="clear" w:color="auto" w:fill="auto"/>
            <w:vAlign w:val="top"/>
          </w:tcPr>
          <w:p w14:paraId="01817176">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0.53</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0.31</w:t>
            </w:r>
          </w:p>
        </w:tc>
        <w:tc>
          <w:tcPr>
            <w:tcW w:w="1158" w:type="pct"/>
            <w:tcBorders>
              <w:bottom w:val="single" w:color="auto" w:sz="4" w:space="0"/>
            </w:tcBorders>
            <w:shd w:val="clear" w:color="auto" w:fill="auto"/>
            <w:vAlign w:val="top"/>
          </w:tcPr>
          <w:p w14:paraId="6DD6FA8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0.08</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0.46</w:t>
            </w:r>
          </w:p>
        </w:tc>
        <w:tc>
          <w:tcPr>
            <w:tcW w:w="1158" w:type="pct"/>
            <w:tcBorders>
              <w:bottom w:val="single" w:color="auto" w:sz="4" w:space="0"/>
            </w:tcBorders>
            <w:shd w:val="clear" w:color="auto" w:fill="auto"/>
            <w:vAlign w:val="center"/>
          </w:tcPr>
          <w:p w14:paraId="7AF7D55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i w:val="0"/>
                <w:iCs w:val="0"/>
                <w:color w:val="auto"/>
                <w:sz w:val="21"/>
                <w:szCs w:val="24"/>
                <w:u w:val="none"/>
              </w:rPr>
            </w:pPr>
            <w:r>
              <w:rPr>
                <w:rFonts w:hint="eastAsia" w:ascii="Times New Roman" w:hAnsi="Times New Roman" w:eastAsia="宋体" w:cs="宋体"/>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1.71</w:t>
            </w:r>
            <w:r>
              <w:rPr>
                <w:rFonts w:hint="eastAsia" w:ascii="Times New Roman" w:hAnsi="Times New Roman" w:eastAsia="宋体" w:cs="Times New Roman"/>
                <w:i w:val="0"/>
                <w:iCs w:val="0"/>
                <w:color w:val="auto"/>
                <w:kern w:val="0"/>
                <w:sz w:val="21"/>
                <w:szCs w:val="24"/>
                <w:u w:val="none"/>
                <w:lang w:val="en-US" w:eastAsia="zh-CN" w:bidi="ar"/>
              </w:rPr>
              <w:t>±</w:t>
            </w:r>
            <w:r>
              <w:rPr>
                <w:rFonts w:hint="default" w:ascii="Times New Roman" w:hAnsi="Times New Roman" w:eastAsia="宋体" w:cs="Times New Roman"/>
                <w:i w:val="0"/>
                <w:iCs w:val="0"/>
                <w:color w:val="auto"/>
                <w:kern w:val="0"/>
                <w:sz w:val="21"/>
                <w:szCs w:val="24"/>
                <w:u w:val="none"/>
                <w:lang w:val="en-US" w:eastAsia="zh-CN" w:bidi="ar"/>
              </w:rPr>
              <w:t>0.45</w:t>
            </w:r>
          </w:p>
        </w:tc>
      </w:tr>
      <w:tr w14:paraId="11DE7C0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952" w:type="pct"/>
            <w:tcBorders>
              <w:top w:val="single" w:color="auto" w:sz="4" w:space="0"/>
            </w:tcBorders>
            <w:shd w:val="clear" w:color="auto" w:fill="auto"/>
            <w:vAlign w:val="top"/>
          </w:tcPr>
          <w:p w14:paraId="29BDCCD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default" w:ascii="Times New Roman" w:hAnsi="Times New Roman" w:eastAsia="宋体" w:cs="Times New Roman"/>
                <w:i/>
                <w:iCs/>
                <w:color w:val="auto"/>
                <w:sz w:val="21"/>
                <w:szCs w:val="24"/>
                <w:u w:val="none"/>
              </w:rPr>
            </w:pPr>
            <w:r>
              <w:rPr>
                <w:rFonts w:hint="default" w:ascii="Times New Roman" w:hAnsi="Times New Roman" w:eastAsia="宋体" w:cs="Times New Roman"/>
                <w:i/>
                <w:iCs/>
                <w:color w:val="auto"/>
                <w:kern w:val="0"/>
                <w:sz w:val="21"/>
                <w:szCs w:val="24"/>
                <w:u w:val="none"/>
                <w:lang w:val="en-US" w:eastAsia="zh-CN" w:bidi="ar"/>
              </w:rPr>
              <w:t>t</w:t>
            </w:r>
            <w:r>
              <w:rPr>
                <w:rFonts w:hint="eastAsia" w:ascii="Times New Roman" w:hAnsi="Times New Roman" w:eastAsia="宋体" w:cs="宋体"/>
                <w:i w:val="0"/>
                <w:iCs w:val="0"/>
                <w:color w:val="auto"/>
                <w:kern w:val="0"/>
                <w:sz w:val="21"/>
                <w:szCs w:val="22"/>
                <w:u w:val="none"/>
                <w:lang w:val="en-US" w:eastAsia="zh-CN" w:bidi="ar"/>
              </w:rPr>
              <w:t>值</w:t>
            </w:r>
          </w:p>
        </w:tc>
        <w:tc>
          <w:tcPr>
            <w:tcW w:w="573" w:type="pct"/>
            <w:tcBorders>
              <w:top w:val="single" w:color="auto" w:sz="4" w:space="0"/>
            </w:tcBorders>
            <w:shd w:val="clear" w:color="auto" w:fill="auto"/>
            <w:vAlign w:val="top"/>
          </w:tcPr>
          <w:p w14:paraId="3690A6C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p>
        </w:tc>
        <w:tc>
          <w:tcPr>
            <w:tcW w:w="1158" w:type="pct"/>
            <w:tcBorders>
              <w:top w:val="single" w:color="auto" w:sz="4" w:space="0"/>
            </w:tcBorders>
            <w:shd w:val="clear" w:color="auto" w:fill="auto"/>
            <w:vAlign w:val="top"/>
          </w:tcPr>
          <w:p w14:paraId="7A3E8E3E">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3.263</w:t>
            </w:r>
          </w:p>
        </w:tc>
        <w:tc>
          <w:tcPr>
            <w:tcW w:w="1158" w:type="pct"/>
            <w:tcBorders>
              <w:top w:val="single" w:color="auto" w:sz="4" w:space="0"/>
            </w:tcBorders>
            <w:shd w:val="clear" w:color="auto" w:fill="auto"/>
            <w:vAlign w:val="top"/>
          </w:tcPr>
          <w:p w14:paraId="18AFC80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0.922</w:t>
            </w:r>
          </w:p>
        </w:tc>
        <w:tc>
          <w:tcPr>
            <w:tcW w:w="1158" w:type="pct"/>
            <w:tcBorders>
              <w:top w:val="single" w:color="auto" w:sz="4" w:space="0"/>
            </w:tcBorders>
            <w:shd w:val="clear" w:color="auto" w:fill="auto"/>
            <w:vAlign w:val="top"/>
          </w:tcPr>
          <w:p w14:paraId="366BB42D">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0.246</w:t>
            </w:r>
          </w:p>
        </w:tc>
      </w:tr>
      <w:tr w14:paraId="7C615BD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52" w:type="pct"/>
            <w:shd w:val="clear" w:color="auto" w:fill="auto"/>
            <w:vAlign w:val="top"/>
          </w:tcPr>
          <w:p w14:paraId="7FCFC15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both"/>
              <w:textAlignment w:val="top"/>
              <w:rPr>
                <w:rFonts w:hint="default" w:ascii="Times New Roman" w:hAnsi="Times New Roman" w:eastAsia="宋体" w:cs="Times New Roman"/>
                <w:i/>
                <w:iCs/>
                <w:color w:val="auto"/>
                <w:sz w:val="21"/>
                <w:szCs w:val="24"/>
                <w:u w:val="none"/>
              </w:rPr>
            </w:pPr>
            <w:r>
              <w:rPr>
                <w:rFonts w:hint="default" w:ascii="Times New Roman" w:hAnsi="Times New Roman" w:eastAsia="宋体" w:cs="Times New Roman"/>
                <w:i/>
                <w:iCs/>
                <w:color w:val="auto"/>
                <w:kern w:val="0"/>
                <w:sz w:val="21"/>
                <w:szCs w:val="24"/>
                <w:u w:val="none"/>
                <w:lang w:val="en-US" w:eastAsia="zh-CN" w:bidi="ar"/>
              </w:rPr>
              <w:t>P</w:t>
            </w:r>
            <w:r>
              <w:rPr>
                <w:rFonts w:hint="eastAsia" w:ascii="Times New Roman" w:hAnsi="Times New Roman" w:eastAsia="宋体" w:cs="宋体"/>
                <w:i w:val="0"/>
                <w:iCs w:val="0"/>
                <w:color w:val="auto"/>
                <w:kern w:val="0"/>
                <w:sz w:val="21"/>
                <w:szCs w:val="22"/>
                <w:u w:val="none"/>
                <w:lang w:val="en-US" w:eastAsia="zh-CN" w:bidi="ar"/>
              </w:rPr>
              <w:t>值</w:t>
            </w:r>
          </w:p>
        </w:tc>
        <w:tc>
          <w:tcPr>
            <w:tcW w:w="573" w:type="pct"/>
            <w:shd w:val="clear" w:color="auto" w:fill="auto"/>
            <w:vAlign w:val="top"/>
          </w:tcPr>
          <w:p w14:paraId="59649747">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kern w:val="0"/>
                <w:sz w:val="21"/>
                <w:szCs w:val="24"/>
                <w:u w:val="none"/>
                <w:lang w:val="en-US" w:eastAsia="zh-CN" w:bidi="ar"/>
              </w:rPr>
            </w:pPr>
          </w:p>
        </w:tc>
        <w:tc>
          <w:tcPr>
            <w:tcW w:w="1158" w:type="pct"/>
            <w:shd w:val="clear" w:color="auto" w:fill="auto"/>
            <w:vAlign w:val="top"/>
          </w:tcPr>
          <w:p w14:paraId="7E06CE41">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0.003</w:t>
            </w:r>
          </w:p>
        </w:tc>
        <w:tc>
          <w:tcPr>
            <w:tcW w:w="1158" w:type="pct"/>
            <w:shd w:val="clear" w:color="auto" w:fill="auto"/>
            <w:vAlign w:val="top"/>
          </w:tcPr>
          <w:p w14:paraId="76C26319">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0.366</w:t>
            </w:r>
          </w:p>
        </w:tc>
        <w:tc>
          <w:tcPr>
            <w:tcW w:w="1158" w:type="pct"/>
            <w:shd w:val="clear" w:color="auto" w:fill="auto"/>
            <w:vAlign w:val="top"/>
          </w:tcPr>
          <w:p w14:paraId="598EA64F">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s="Times New Roman"/>
                <w:i w:val="0"/>
                <w:iCs w:val="0"/>
                <w:color w:val="auto"/>
                <w:sz w:val="21"/>
                <w:szCs w:val="24"/>
                <w:u w:val="none"/>
              </w:rPr>
            </w:pPr>
            <w:r>
              <w:rPr>
                <w:rFonts w:hint="default" w:ascii="Times New Roman" w:hAnsi="Times New Roman" w:eastAsia="宋体" w:cs="Times New Roman"/>
                <w:i w:val="0"/>
                <w:iCs w:val="0"/>
                <w:color w:val="auto"/>
                <w:kern w:val="0"/>
                <w:sz w:val="21"/>
                <w:szCs w:val="24"/>
                <w:u w:val="none"/>
                <w:lang w:val="en-US" w:eastAsia="zh-CN" w:bidi="ar"/>
              </w:rPr>
              <w:t>0.808</w:t>
            </w:r>
          </w:p>
        </w:tc>
      </w:tr>
    </w:tbl>
    <w:p w14:paraId="1C06D19B">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s="Times New Roman"/>
          <w:color w:val="auto"/>
          <w:kern w:val="0"/>
          <w:sz w:val="21"/>
          <w:szCs w:val="24"/>
          <w:lang w:val="en-US" w:eastAsia="zh-CN" w:bidi="ar-SA"/>
        </w:rPr>
      </w:pPr>
      <w:r>
        <w:rPr>
          <w:rFonts w:ascii="Times New Roman" w:hAnsi="Times New Roman" w:eastAsia="宋体"/>
          <w:color w:val="auto"/>
          <w:kern w:val="0"/>
          <w:sz w:val="21"/>
          <w:szCs w:val="24"/>
        </w:rPr>
        <w:t>注：PTA</w:t>
      </w:r>
      <w:r>
        <w:rPr>
          <w:rFonts w:ascii="Times New Roman" w:hAnsi="Times New Roman" w:eastAsia="宋体"/>
          <w:color w:val="auto"/>
          <w:kern w:val="0"/>
          <w:sz w:val="21"/>
          <w:szCs w:val="24"/>
          <w:vertAlign w:val="subscript"/>
        </w:rPr>
        <w:t>ROM3-1</w:t>
      </w:r>
      <w:r>
        <w:rPr>
          <w:rFonts w:ascii="Times New Roman" w:hAnsi="Times New Roman" w:eastAsia="宋体"/>
          <w:color w:val="auto"/>
          <w:kern w:val="0"/>
          <w:sz w:val="21"/>
          <w:szCs w:val="24"/>
        </w:rPr>
        <w:t>为骨盆前后倾斜活动范围差值</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ROM3-1</w:t>
      </w:r>
      <w:r>
        <w:rPr>
          <w:rFonts w:ascii="Times New Roman" w:hAnsi="Times New Roman" w:eastAsia="宋体"/>
          <w:color w:val="auto"/>
          <w:kern w:val="0"/>
          <w:sz w:val="21"/>
          <w:szCs w:val="24"/>
        </w:rPr>
        <w:t>为骨盆旋转活动范围差值</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POA</w:t>
      </w:r>
      <w:r>
        <w:rPr>
          <w:rFonts w:ascii="Times New Roman" w:hAnsi="Times New Roman" w:eastAsia="宋体"/>
          <w:color w:val="auto"/>
          <w:kern w:val="0"/>
          <w:sz w:val="21"/>
          <w:szCs w:val="24"/>
          <w:vertAlign w:val="subscript"/>
        </w:rPr>
        <w:t>ROM3-1</w:t>
      </w:r>
      <w:r>
        <w:rPr>
          <w:rFonts w:ascii="Times New Roman" w:hAnsi="Times New Roman" w:eastAsia="宋体"/>
          <w:color w:val="auto"/>
          <w:kern w:val="0"/>
          <w:sz w:val="21"/>
          <w:szCs w:val="24"/>
        </w:rPr>
        <w:t>为骨盆侧倾活动范围差值</w:t>
      </w:r>
    </w:p>
    <w:p w14:paraId="73D8DBEA">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hint="eastAsia" w:ascii="Times New Roman" w:hAnsi="Times New Roman" w:eastAsia="宋体"/>
          <w:color w:val="auto"/>
          <w:kern w:val="0"/>
          <w:sz w:val="21"/>
          <w:szCs w:val="24"/>
          <w:lang w:val="en-US" w:eastAsia="zh-CN"/>
        </w:rPr>
      </w:pPr>
      <w:r>
        <w:rPr>
          <w:rFonts w:hint="eastAsia" w:ascii="Times New Roman" w:hAnsi="Times New Roman" w:eastAsia="宋体"/>
          <w:color w:val="auto"/>
          <w:kern w:val="0"/>
          <w:sz w:val="21"/>
          <w:szCs w:val="24"/>
        </w:rPr>
        <w:t>三、</w:t>
      </w:r>
      <w:r>
        <w:rPr>
          <w:rFonts w:ascii="Times New Roman" w:hAnsi="Times New Roman" w:eastAsia="宋体"/>
          <w:color w:val="auto"/>
          <w:kern w:val="0"/>
          <w:sz w:val="21"/>
          <w:szCs w:val="24"/>
        </w:rPr>
        <w:t xml:space="preserve">连续步行中骨盆三轴关节角度在不同步行时期之间的比较 </w:t>
      </w:r>
    </w:p>
    <w:p w14:paraId="61799352">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highlight w:val="none"/>
        </w:rPr>
      </w:pPr>
      <w:r>
        <w:rPr>
          <w:rFonts w:hint="eastAsia" w:ascii="Times New Roman" w:hAnsi="Times New Roman" w:eastAsia="宋体"/>
          <w:color w:val="auto"/>
          <w:kern w:val="0"/>
          <w:sz w:val="21"/>
          <w:szCs w:val="24"/>
          <w:highlight w:val="none"/>
        </w:rPr>
        <w:t>（一）</w:t>
      </w:r>
      <w:r>
        <w:rPr>
          <w:rFonts w:ascii="Times New Roman" w:hAnsi="Times New Roman" w:eastAsia="宋体"/>
          <w:color w:val="auto"/>
          <w:kern w:val="0"/>
          <w:sz w:val="21"/>
          <w:szCs w:val="24"/>
          <w:highlight w:val="none"/>
        </w:rPr>
        <w:t>连续步行中骨盆前倾PTA</w:t>
      </w:r>
      <w:r>
        <w:rPr>
          <w:rFonts w:ascii="Times New Roman" w:hAnsi="Times New Roman" w:eastAsia="宋体"/>
          <w:color w:val="auto"/>
          <w:kern w:val="0"/>
          <w:sz w:val="21"/>
          <w:szCs w:val="24"/>
          <w:highlight w:val="none"/>
          <w:vertAlign w:val="subscript"/>
        </w:rPr>
        <w:t>max</w:t>
      </w:r>
      <w:r>
        <w:rPr>
          <w:rFonts w:ascii="Times New Roman" w:hAnsi="Times New Roman" w:eastAsia="宋体"/>
          <w:color w:val="auto"/>
          <w:kern w:val="0"/>
          <w:sz w:val="21"/>
          <w:szCs w:val="24"/>
          <w:highlight w:val="none"/>
        </w:rPr>
        <w:t>在不同步行时期之间的比较</w:t>
      </w:r>
    </w:p>
    <w:p w14:paraId="0E3A13AC">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随着步行时间的延长，骨盆偏瘫侧PTA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vertAlign w:val="subscript"/>
          <w:lang w:val="en-US" w:eastAsia="zh-CN"/>
        </w:rPr>
        <w:t>1</w:t>
      </w:r>
      <w:r>
        <w:rPr>
          <w:rFonts w:hint="eastAsia" w:ascii="Times New Roman" w:hAnsi="Times New Roman" w:eastAsia="宋体"/>
          <w:color w:val="auto"/>
          <w:kern w:val="0"/>
          <w:sz w:val="21"/>
          <w:szCs w:val="24"/>
          <w:lang w:eastAsia="zh-CN" w:bidi="ar"/>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vertAlign w:val="subscript"/>
          <w:lang w:val="en-US" w:eastAsia="zh-CN"/>
        </w:rPr>
        <w:t>2</w:t>
      </w:r>
      <w:r>
        <w:rPr>
          <w:rFonts w:hint="eastAsia" w:ascii="Times New Roman" w:hAnsi="Times New Roman" w:eastAsia="宋体"/>
          <w:color w:val="auto"/>
          <w:kern w:val="0"/>
          <w:sz w:val="21"/>
          <w:szCs w:val="24"/>
          <w:lang w:eastAsia="zh-CN" w:bidi="ar"/>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w:t>
      </w:r>
      <w:r>
        <w:rPr>
          <w:rFonts w:hint="eastAsia" w:ascii="Times New Roman" w:hAnsi="Times New Roman" w:eastAsia="宋体"/>
          <w:color w:val="auto"/>
          <w:kern w:val="0"/>
          <w:sz w:val="21"/>
          <w:szCs w:val="24"/>
          <w:vertAlign w:val="subscript"/>
          <w:lang w:val="en-US" w:eastAsia="zh-CN"/>
        </w:rPr>
        <w:t>3</w:t>
      </w:r>
      <w:r>
        <w:rPr>
          <w:rFonts w:hint="eastAsia" w:ascii="Times New Roman" w:hAnsi="Times New Roman" w:eastAsia="宋体"/>
          <w:color w:val="auto"/>
          <w:kern w:val="0"/>
          <w:sz w:val="21"/>
          <w:szCs w:val="24"/>
          <w:lang w:val="en-US" w:eastAsia="zh-CN"/>
        </w:rPr>
        <w:t>呈</w:t>
      </w:r>
      <w:r>
        <w:rPr>
          <w:rFonts w:ascii="Times New Roman" w:hAnsi="Times New Roman" w:eastAsia="宋体"/>
          <w:color w:val="auto"/>
          <w:kern w:val="0"/>
          <w:sz w:val="21"/>
          <w:szCs w:val="24"/>
        </w:rPr>
        <w:t>渐进增大，PTA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组内</w:t>
      </w:r>
      <w:r>
        <w:rPr>
          <w:rFonts w:hint="eastAsia" w:ascii="Times New Roman" w:hAnsi="Times New Roman" w:eastAsia="宋体"/>
          <w:color w:val="auto"/>
          <w:kern w:val="0"/>
          <w:sz w:val="21"/>
          <w:szCs w:val="24"/>
          <w:lang w:val="en-US" w:eastAsia="zh-CN"/>
        </w:rPr>
        <w:t>比较</w:t>
      </w:r>
      <w:r>
        <w:rPr>
          <w:rFonts w:ascii="Times New Roman" w:hAnsi="Times New Roman" w:eastAsia="宋体"/>
          <w:color w:val="auto"/>
          <w:kern w:val="0"/>
          <w:sz w:val="21"/>
          <w:szCs w:val="24"/>
        </w:rPr>
        <w:t>差异有统计学意义</w:t>
      </w:r>
      <w:r>
        <w:rPr>
          <w:rFonts w:hint="eastAsia" w:ascii="Times New Roman" w:hAnsi="Times New Roman" w:eastAsia="宋体"/>
          <w:color w:val="auto"/>
          <w:kern w:val="0"/>
          <w:sz w:val="21"/>
          <w:szCs w:val="24"/>
          <w:vertAlign w:val="baseline"/>
          <w:lang w:val="en-US" w:eastAsia="zh-CN"/>
        </w:rPr>
        <w:t>（</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295，</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046</w:t>
      </w:r>
      <w:r>
        <w:rPr>
          <w:rFonts w:hint="eastAsia" w:ascii="Times New Roman" w:hAnsi="Times New Roman" w:eastAsia="宋体"/>
          <w:color w:val="auto"/>
          <w:kern w:val="0"/>
          <w:sz w:val="21"/>
          <w:szCs w:val="24"/>
          <w:vertAlign w:val="baseline"/>
          <w:lang w:val="en-US" w:eastAsia="zh-CN"/>
        </w:rPr>
        <w:t>）</w:t>
      </w:r>
      <w:r>
        <w:rPr>
          <w:rFonts w:ascii="Times New Roman" w:hAnsi="Times New Roman" w:eastAsia="宋体"/>
          <w:color w:val="auto"/>
          <w:kern w:val="0"/>
          <w:sz w:val="21"/>
          <w:szCs w:val="24"/>
        </w:rPr>
        <w:t>。进一步对室内步行组和室外步行组不同运动时期的PTA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进行分析，结果发现</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室内步行组PTA</w:t>
      </w:r>
      <w:r>
        <w:rPr>
          <w:rFonts w:ascii="Times New Roman" w:hAnsi="Times New Roman" w:eastAsia="宋体"/>
          <w:color w:val="auto"/>
          <w:kern w:val="0"/>
          <w:sz w:val="21"/>
          <w:szCs w:val="24"/>
          <w:vertAlign w:val="subscript"/>
        </w:rPr>
        <w:t>max2</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与PTA</w:t>
      </w:r>
      <w:r>
        <w:rPr>
          <w:rFonts w:ascii="Times New Roman" w:hAnsi="Times New Roman" w:eastAsia="宋体"/>
          <w:color w:val="auto"/>
          <w:kern w:val="0"/>
          <w:sz w:val="21"/>
          <w:szCs w:val="24"/>
          <w:vertAlign w:val="subscript"/>
        </w:rPr>
        <w:t>max1</w:t>
      </w:r>
      <w:r>
        <w:rPr>
          <w:rFonts w:ascii="Times New Roman" w:hAnsi="Times New Roman" w:eastAsia="宋体"/>
          <w:color w:val="auto"/>
          <w:kern w:val="0"/>
          <w:sz w:val="21"/>
          <w:szCs w:val="24"/>
        </w:rPr>
        <w:t>相比均显著增大</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max2</w:t>
      </w:r>
      <w:r>
        <w:rPr>
          <w:rFonts w:ascii="Times New Roman" w:hAnsi="Times New Roman" w:eastAsia="宋体"/>
          <w:color w:val="auto"/>
          <w:kern w:val="0"/>
          <w:sz w:val="21"/>
          <w:szCs w:val="24"/>
        </w:rPr>
        <w:t>和PTA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之间差异</w:t>
      </w:r>
      <w:r>
        <w:rPr>
          <w:rFonts w:hint="eastAsia" w:ascii="Times New Roman" w:hAnsi="Times New Roman" w:eastAsia="宋体"/>
          <w:color w:val="auto"/>
          <w:kern w:val="0"/>
          <w:sz w:val="21"/>
          <w:szCs w:val="24"/>
          <w:lang w:val="en-US" w:eastAsia="zh-CN"/>
        </w:rPr>
        <w:t>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lang w:val="en-US" w:eastAsia="zh-CN"/>
        </w:rPr>
        <w:t>但</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highlight w:val="none"/>
        </w:rPr>
        <w:t>组内</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rPr>
        <w:t>差异有</w:t>
      </w:r>
      <w:r>
        <w:rPr>
          <w:rFonts w:hint="eastAsia" w:ascii="Times New Roman" w:hAnsi="Times New Roman" w:eastAsia="宋体"/>
          <w:color w:val="auto"/>
          <w:kern w:val="0"/>
          <w:sz w:val="21"/>
          <w:szCs w:val="24"/>
          <w:lang w:eastAsia="zh-CN"/>
        </w:rPr>
        <w:t>统计学</w:t>
      </w:r>
      <w:r>
        <w:rPr>
          <w:rFonts w:ascii="Times New Roman" w:hAnsi="Times New Roman" w:eastAsia="宋体"/>
          <w:color w:val="auto"/>
          <w:kern w:val="0"/>
          <w:sz w:val="21"/>
          <w:szCs w:val="24"/>
        </w:rPr>
        <w:t>意义（</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5.</w:t>
      </w:r>
      <w:r>
        <w:rPr>
          <w:rFonts w:ascii="Times New Roman" w:hAnsi="Times New Roman" w:eastAsia="宋体"/>
          <w:color w:val="auto"/>
          <w:kern w:val="0"/>
          <w:sz w:val="21"/>
          <w:szCs w:val="24"/>
        </w:rPr>
        <w:t>83</w:t>
      </w:r>
      <w:r>
        <w:rPr>
          <w:rFonts w:hint="eastAsia" w:ascii="Times New Roman" w:hAnsi="Times New Roman" w:eastAsia="宋体"/>
          <w:color w:val="auto"/>
          <w:kern w:val="0"/>
          <w:sz w:val="21"/>
          <w:szCs w:val="24"/>
          <w:lang w:val="en-US" w:eastAsia="zh-CN"/>
        </w:rPr>
        <w:t>0</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009）</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highlight w:val="none"/>
          <w:lang w:val="en-US" w:eastAsia="zh-CN"/>
        </w:rPr>
        <w:t>而室外步行组内</w:t>
      </w:r>
      <w:r>
        <w:rPr>
          <w:rFonts w:ascii="Times New Roman" w:hAnsi="Times New Roman" w:eastAsia="宋体"/>
          <w:color w:val="auto"/>
          <w:kern w:val="0"/>
          <w:sz w:val="21"/>
          <w:szCs w:val="24"/>
          <w:highlight w:val="none"/>
        </w:rPr>
        <w:t>PTA</w:t>
      </w:r>
      <w:r>
        <w:rPr>
          <w:rFonts w:ascii="Times New Roman" w:hAnsi="Times New Roman" w:eastAsia="宋体"/>
          <w:color w:val="auto"/>
          <w:kern w:val="0"/>
          <w:sz w:val="21"/>
          <w:szCs w:val="24"/>
          <w:highlight w:val="none"/>
          <w:vertAlign w:val="subscript"/>
        </w:rPr>
        <w:t>max1</w:t>
      </w:r>
      <w:r>
        <w:rPr>
          <w:rFonts w:ascii="Times New Roman" w:hAnsi="Times New Roman" w:eastAsia="宋体"/>
          <w:color w:val="auto"/>
          <w:kern w:val="0"/>
          <w:sz w:val="21"/>
          <w:szCs w:val="24"/>
          <w:highlight w:val="none"/>
        </w:rPr>
        <w:t>、PTA</w:t>
      </w:r>
      <w:r>
        <w:rPr>
          <w:rFonts w:ascii="Times New Roman" w:hAnsi="Times New Roman" w:eastAsia="宋体"/>
          <w:color w:val="auto"/>
          <w:kern w:val="0"/>
          <w:sz w:val="21"/>
          <w:szCs w:val="24"/>
          <w:highlight w:val="none"/>
          <w:vertAlign w:val="subscript"/>
        </w:rPr>
        <w:t>max2</w:t>
      </w:r>
      <w:r>
        <w:rPr>
          <w:rFonts w:ascii="Times New Roman" w:hAnsi="Times New Roman" w:eastAsia="宋体"/>
          <w:color w:val="auto"/>
          <w:kern w:val="0"/>
          <w:sz w:val="21"/>
          <w:szCs w:val="24"/>
          <w:highlight w:val="none"/>
        </w:rPr>
        <w:t>、PTA</w:t>
      </w:r>
      <w:r>
        <w:rPr>
          <w:rFonts w:ascii="Times New Roman" w:hAnsi="Times New Roman" w:eastAsia="宋体"/>
          <w:color w:val="auto"/>
          <w:kern w:val="0"/>
          <w:sz w:val="21"/>
          <w:szCs w:val="24"/>
          <w:highlight w:val="none"/>
          <w:vertAlign w:val="subscript"/>
        </w:rPr>
        <w:t>max3</w:t>
      </w:r>
      <w:r>
        <w:rPr>
          <w:rFonts w:ascii="Times New Roman" w:hAnsi="Times New Roman" w:eastAsia="宋体"/>
          <w:color w:val="auto"/>
          <w:kern w:val="0"/>
          <w:sz w:val="21"/>
          <w:szCs w:val="24"/>
          <w:highlight w:val="none"/>
        </w:rPr>
        <w:t>组内</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highlight w:val="none"/>
        </w:rPr>
        <w:t>差异</w:t>
      </w:r>
      <w:r>
        <w:rPr>
          <w:rFonts w:hint="eastAsia" w:ascii="Times New Roman" w:hAnsi="Times New Roman" w:eastAsia="宋体"/>
          <w:color w:val="auto"/>
          <w:kern w:val="0"/>
          <w:sz w:val="21"/>
          <w:szCs w:val="24"/>
          <w:highlight w:val="none"/>
          <w:lang w:eastAsia="zh-CN"/>
        </w:rPr>
        <w:t>均</w:t>
      </w:r>
      <w:r>
        <w:rPr>
          <w:rFonts w:hint="eastAsia" w:ascii="Times New Roman" w:hAnsi="Times New Roman" w:eastAsia="宋体"/>
          <w:color w:val="auto"/>
          <w:kern w:val="0"/>
          <w:sz w:val="21"/>
          <w:szCs w:val="24"/>
          <w:highlight w:val="none"/>
          <w:lang w:val="en-US" w:eastAsia="zh-CN"/>
        </w:rPr>
        <w:t>无统计学</w:t>
      </w:r>
      <w:r>
        <w:rPr>
          <w:rFonts w:ascii="Times New Roman" w:hAnsi="Times New Roman" w:eastAsia="宋体"/>
          <w:color w:val="auto"/>
          <w:kern w:val="0"/>
          <w:sz w:val="21"/>
          <w:szCs w:val="24"/>
          <w:highlight w:val="none"/>
        </w:rPr>
        <w:t>意义</w:t>
      </w:r>
      <w:r>
        <w:rPr>
          <w:rFonts w:hint="eastAsia" w:ascii="Times New Roman" w:hAnsi="Times New Roman" w:eastAsia="宋体"/>
          <w:color w:val="auto"/>
          <w:kern w:val="0"/>
          <w:sz w:val="21"/>
          <w:szCs w:val="24"/>
          <w:highlight w:val="none"/>
          <w:lang w:eastAsia="zh-CN"/>
        </w:rPr>
        <w:t>（</w:t>
      </w:r>
      <w:r>
        <w:rPr>
          <w:rFonts w:hint="eastAsia" w:ascii="Times New Roman" w:hAnsi="Times New Roman" w:eastAsia="宋体"/>
          <w:i/>
          <w:iCs/>
          <w:color w:val="auto"/>
          <w:kern w:val="0"/>
          <w:sz w:val="21"/>
          <w:szCs w:val="24"/>
          <w:highlight w:val="none"/>
          <w:lang w:val="en-US" w:eastAsia="zh-CN"/>
        </w:rPr>
        <w:t>P</w:t>
      </w:r>
      <w:r>
        <w:rPr>
          <w:rFonts w:hint="eastAsia" w:ascii="Times New Roman" w:hAnsi="Times New Roman" w:eastAsia="宋体"/>
          <w:color w:val="auto"/>
          <w:kern w:val="0"/>
          <w:sz w:val="21"/>
          <w:szCs w:val="24"/>
          <w:highlight w:val="none"/>
          <w:lang w:eastAsia="zh-CN"/>
        </w:rPr>
        <w:t>均</w:t>
      </w:r>
      <w:r>
        <w:rPr>
          <w:rFonts w:hint="eastAsia" w:ascii="Times New Roman" w:hAnsi="Times New Roman" w:eastAsia="宋体"/>
          <w:color w:val="auto"/>
          <w:kern w:val="0"/>
          <w:sz w:val="21"/>
          <w:szCs w:val="24"/>
          <w:highlight w:val="none"/>
          <w:lang w:val="en-US" w:eastAsia="zh-CN"/>
        </w:rPr>
        <w:t>＞0.05</w:t>
      </w:r>
      <w:r>
        <w:rPr>
          <w:rFonts w:hint="eastAsia" w:ascii="Times New Roman" w:hAnsi="Times New Roman" w:eastAsia="宋体"/>
          <w:color w:val="auto"/>
          <w:kern w:val="0"/>
          <w:sz w:val="21"/>
          <w:szCs w:val="24"/>
          <w:highlight w:val="none"/>
          <w:lang w:eastAsia="zh-CN"/>
        </w:rPr>
        <w:t>）</w:t>
      </w:r>
      <w:r>
        <w:rPr>
          <w:rFonts w:hint="eastAsia" w:ascii="Times New Roman" w:hAnsi="Times New Roman" w:eastAsia="宋体"/>
          <w:color w:val="auto"/>
          <w:kern w:val="0"/>
          <w:sz w:val="21"/>
          <w:szCs w:val="24"/>
          <w:highlight w:val="none"/>
          <w:vertAlign w:val="baseline"/>
          <w:lang w:val="en-US" w:eastAsia="zh-CN"/>
        </w:rPr>
        <w:t>。</w:t>
      </w:r>
      <w:r>
        <w:rPr>
          <w:rFonts w:hint="eastAsia" w:ascii="Times New Roman" w:hAnsi="Times New Roman" w:eastAsia="宋体"/>
          <w:color w:val="auto"/>
          <w:kern w:val="0"/>
          <w:sz w:val="21"/>
          <w:szCs w:val="24"/>
          <w:highlight w:val="none"/>
          <w:lang w:val="en-US" w:eastAsia="zh-CN"/>
        </w:rPr>
        <w:t>非偏瘫侧骨盆</w:t>
      </w:r>
      <w:r>
        <w:rPr>
          <w:rFonts w:ascii="Times New Roman" w:hAnsi="Times New Roman" w:eastAsia="宋体"/>
          <w:color w:val="auto"/>
          <w:kern w:val="0"/>
          <w:sz w:val="21"/>
          <w:szCs w:val="24"/>
          <w:highlight w:val="none"/>
        </w:rPr>
        <w:t>室内步行</w:t>
      </w:r>
      <w:r>
        <w:rPr>
          <w:rFonts w:hint="eastAsia" w:ascii="Times New Roman" w:hAnsi="Times New Roman" w:eastAsia="宋体"/>
          <w:color w:val="auto"/>
          <w:kern w:val="0"/>
          <w:sz w:val="21"/>
          <w:szCs w:val="24"/>
          <w:highlight w:val="none"/>
          <w:lang w:val="en-US" w:eastAsia="zh-CN"/>
        </w:rPr>
        <w:t>组和</w:t>
      </w:r>
      <w:r>
        <w:rPr>
          <w:rFonts w:ascii="Times New Roman" w:hAnsi="Times New Roman" w:eastAsia="宋体"/>
          <w:color w:val="auto"/>
          <w:kern w:val="0"/>
          <w:sz w:val="21"/>
          <w:szCs w:val="24"/>
          <w:highlight w:val="none"/>
        </w:rPr>
        <w:t>室外步行组PTA</w:t>
      </w:r>
      <w:r>
        <w:rPr>
          <w:rFonts w:ascii="Times New Roman" w:hAnsi="Times New Roman" w:eastAsia="宋体"/>
          <w:color w:val="auto"/>
          <w:kern w:val="0"/>
          <w:sz w:val="21"/>
          <w:szCs w:val="24"/>
          <w:highlight w:val="none"/>
          <w:vertAlign w:val="subscript"/>
        </w:rPr>
        <w:t>max1</w:t>
      </w:r>
      <w:r>
        <w:rPr>
          <w:rFonts w:ascii="Times New Roman" w:hAnsi="Times New Roman" w:eastAsia="宋体"/>
          <w:color w:val="auto"/>
          <w:kern w:val="0"/>
          <w:sz w:val="21"/>
          <w:szCs w:val="24"/>
          <w:highlight w:val="none"/>
        </w:rPr>
        <w:t>、PTA</w:t>
      </w:r>
      <w:r>
        <w:rPr>
          <w:rFonts w:ascii="Times New Roman" w:hAnsi="Times New Roman" w:eastAsia="宋体"/>
          <w:color w:val="auto"/>
          <w:kern w:val="0"/>
          <w:sz w:val="21"/>
          <w:szCs w:val="24"/>
          <w:highlight w:val="none"/>
          <w:vertAlign w:val="subscript"/>
        </w:rPr>
        <w:t>max2</w:t>
      </w:r>
      <w:r>
        <w:rPr>
          <w:rFonts w:ascii="Times New Roman" w:hAnsi="Times New Roman" w:eastAsia="宋体"/>
          <w:color w:val="auto"/>
          <w:kern w:val="0"/>
          <w:sz w:val="21"/>
          <w:szCs w:val="24"/>
          <w:highlight w:val="none"/>
        </w:rPr>
        <w:t>、PTA</w:t>
      </w:r>
      <w:r>
        <w:rPr>
          <w:rFonts w:ascii="Times New Roman" w:hAnsi="Times New Roman" w:eastAsia="宋体"/>
          <w:color w:val="auto"/>
          <w:kern w:val="0"/>
          <w:sz w:val="21"/>
          <w:szCs w:val="24"/>
          <w:highlight w:val="none"/>
          <w:vertAlign w:val="subscript"/>
        </w:rPr>
        <w:t>max3</w:t>
      </w:r>
      <w:r>
        <w:rPr>
          <w:rFonts w:hint="eastAsia" w:ascii="Times New Roman" w:hAnsi="Times New Roman" w:eastAsia="宋体"/>
          <w:color w:val="auto"/>
          <w:kern w:val="0"/>
          <w:sz w:val="21"/>
          <w:szCs w:val="24"/>
          <w:highlight w:val="none"/>
          <w:lang w:val="en-US" w:eastAsia="zh-CN"/>
        </w:rPr>
        <w:t>之间比较</w:t>
      </w:r>
      <w:r>
        <w:rPr>
          <w:rFonts w:ascii="Times New Roman" w:hAnsi="Times New Roman" w:eastAsia="宋体"/>
          <w:color w:val="auto"/>
          <w:kern w:val="0"/>
          <w:sz w:val="21"/>
          <w:szCs w:val="24"/>
          <w:highlight w:val="none"/>
        </w:rPr>
        <w:t>差异</w:t>
      </w:r>
      <w:r>
        <w:rPr>
          <w:rFonts w:hint="eastAsia" w:ascii="Times New Roman" w:hAnsi="Times New Roman" w:eastAsia="宋体"/>
          <w:color w:val="auto"/>
          <w:kern w:val="0"/>
          <w:sz w:val="21"/>
          <w:szCs w:val="24"/>
          <w:highlight w:val="none"/>
          <w:lang w:val="en-US" w:eastAsia="zh-CN"/>
        </w:rPr>
        <w:t>均无统计学</w:t>
      </w:r>
      <w:r>
        <w:rPr>
          <w:rFonts w:ascii="Times New Roman" w:hAnsi="Times New Roman" w:eastAsia="宋体"/>
          <w:color w:val="auto"/>
          <w:kern w:val="0"/>
          <w:sz w:val="21"/>
          <w:szCs w:val="24"/>
          <w:highlight w:val="none"/>
        </w:rPr>
        <w:t>意义（</w:t>
      </w:r>
      <w:r>
        <w:rPr>
          <w:rFonts w:hint="eastAsia" w:ascii="Times New Roman" w:hAnsi="Times New Roman" w:eastAsia="宋体"/>
          <w:i/>
          <w:iCs/>
          <w:color w:val="auto"/>
          <w:kern w:val="0"/>
          <w:sz w:val="21"/>
          <w:szCs w:val="24"/>
          <w:highlight w:val="none"/>
          <w:lang w:val="en-US" w:eastAsia="zh-CN"/>
        </w:rPr>
        <w:t>P</w:t>
      </w:r>
      <w:r>
        <w:rPr>
          <w:rFonts w:hint="eastAsia" w:ascii="Times New Roman" w:hAnsi="Times New Roman" w:eastAsia="宋体"/>
          <w:color w:val="auto"/>
          <w:kern w:val="0"/>
          <w:sz w:val="21"/>
          <w:szCs w:val="24"/>
          <w:highlight w:val="none"/>
          <w:lang w:eastAsia="zh-CN"/>
        </w:rPr>
        <w:t>均</w:t>
      </w:r>
      <w:r>
        <w:rPr>
          <w:rFonts w:hint="eastAsia" w:ascii="Times New Roman" w:hAnsi="Times New Roman" w:eastAsia="宋体"/>
          <w:color w:val="auto"/>
          <w:kern w:val="0"/>
          <w:sz w:val="21"/>
          <w:szCs w:val="24"/>
          <w:highlight w:val="none"/>
          <w:lang w:val="en-US" w:eastAsia="zh-CN"/>
        </w:rPr>
        <w:t>＞0.05</w:t>
      </w:r>
      <w:r>
        <w:rPr>
          <w:rFonts w:hint="eastAsia" w:ascii="Times New Roman" w:hAnsi="Times New Roman" w:eastAsia="宋体"/>
          <w:color w:val="auto"/>
          <w:kern w:val="0"/>
          <w:sz w:val="21"/>
          <w:szCs w:val="24"/>
          <w:highlight w:val="none"/>
          <w:lang w:eastAsia="zh-CN"/>
        </w:rPr>
        <w:t>，</w:t>
      </w:r>
      <w:r>
        <w:rPr>
          <w:rFonts w:ascii="Times New Roman" w:hAnsi="Times New Roman" w:eastAsia="宋体"/>
          <w:color w:val="auto"/>
          <w:kern w:val="0"/>
          <w:sz w:val="21"/>
          <w:szCs w:val="24"/>
          <w:highlight w:val="none"/>
        </w:rPr>
        <w:t>表</w:t>
      </w:r>
      <w:r>
        <w:rPr>
          <w:rFonts w:hint="eastAsia" w:ascii="Times New Roman" w:hAnsi="Times New Roman" w:eastAsia="宋体"/>
          <w:color w:val="auto"/>
          <w:kern w:val="0"/>
          <w:sz w:val="21"/>
          <w:szCs w:val="24"/>
          <w:highlight w:val="none"/>
        </w:rPr>
        <w:t>5</w:t>
      </w:r>
      <w:r>
        <w:rPr>
          <w:rFonts w:hint="eastAsia" w:ascii="Times New Roman" w:hAnsi="Times New Roman" w:eastAsia="宋体"/>
          <w:color w:val="auto"/>
          <w:kern w:val="0"/>
          <w:sz w:val="21"/>
          <w:szCs w:val="24"/>
          <w:highlight w:val="none"/>
          <w:lang w:val="en-US" w:eastAsia="zh-CN"/>
        </w:rPr>
        <w:t>~</w:t>
      </w:r>
      <w:r>
        <w:rPr>
          <w:rFonts w:hint="eastAsia" w:ascii="Times New Roman" w:hAnsi="Times New Roman" w:eastAsia="宋体"/>
          <w:color w:val="auto"/>
          <w:kern w:val="0"/>
          <w:sz w:val="21"/>
          <w:szCs w:val="24"/>
          <w:highlight w:val="none"/>
        </w:rPr>
        <w:t>8</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rPr>
        <w:t>。</w:t>
      </w:r>
    </w:p>
    <w:p w14:paraId="65117184">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highlight w:val="none"/>
        </w:rPr>
      </w:pPr>
      <w:r>
        <w:rPr>
          <w:rFonts w:hint="eastAsia" w:ascii="Times New Roman" w:hAnsi="Times New Roman" w:eastAsia="宋体"/>
          <w:color w:val="auto"/>
          <w:kern w:val="0"/>
          <w:sz w:val="21"/>
          <w:szCs w:val="24"/>
          <w:highlight w:val="none"/>
        </w:rPr>
        <w:t>（二）</w:t>
      </w:r>
      <w:r>
        <w:rPr>
          <w:rFonts w:ascii="Times New Roman" w:hAnsi="Times New Roman" w:eastAsia="宋体"/>
          <w:color w:val="auto"/>
          <w:kern w:val="0"/>
          <w:sz w:val="21"/>
          <w:szCs w:val="24"/>
          <w:highlight w:val="none"/>
        </w:rPr>
        <w:t>连续步行中骨盆前后倾斜PTA</w:t>
      </w:r>
      <w:r>
        <w:rPr>
          <w:rFonts w:ascii="Times New Roman" w:hAnsi="Times New Roman" w:eastAsia="宋体"/>
          <w:color w:val="auto"/>
          <w:kern w:val="0"/>
          <w:sz w:val="21"/>
          <w:szCs w:val="24"/>
          <w:highlight w:val="none"/>
          <w:vertAlign w:val="subscript"/>
        </w:rPr>
        <w:t>ROM</w:t>
      </w:r>
      <w:r>
        <w:rPr>
          <w:rFonts w:ascii="Times New Roman" w:hAnsi="Times New Roman" w:eastAsia="宋体"/>
          <w:color w:val="auto"/>
          <w:kern w:val="0"/>
          <w:sz w:val="21"/>
          <w:szCs w:val="24"/>
          <w:highlight w:val="none"/>
        </w:rPr>
        <w:t>在不同步行时期之间的比较</w:t>
      </w:r>
    </w:p>
    <w:p w14:paraId="5D62B5DB">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随着步行时间的延长，骨盆偏瘫侧PTA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渐进增大，差异有统计学意义（</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4.</w:t>
      </w:r>
      <w:r>
        <w:rPr>
          <w:rFonts w:ascii="Times New Roman" w:hAnsi="Times New Roman" w:eastAsia="宋体"/>
          <w:color w:val="auto"/>
          <w:kern w:val="0"/>
          <w:sz w:val="21"/>
          <w:szCs w:val="24"/>
        </w:rPr>
        <w:t>374，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018）。进一步对室内步行组和室外步行组不同运动时期的PTA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进行分析，</w:t>
      </w:r>
      <w:r>
        <w:rPr>
          <w:rFonts w:hint="eastAsia" w:ascii="Times New Roman" w:hAnsi="Times New Roman" w:eastAsia="宋体"/>
          <w:color w:val="auto"/>
          <w:kern w:val="0"/>
          <w:sz w:val="21"/>
          <w:szCs w:val="24"/>
          <w:lang w:val="en-US" w:eastAsia="zh-CN"/>
        </w:rPr>
        <w:t>结果</w:t>
      </w:r>
      <w:r>
        <w:rPr>
          <w:rFonts w:ascii="Times New Roman" w:hAnsi="Times New Roman" w:eastAsia="宋体"/>
          <w:color w:val="auto"/>
          <w:kern w:val="0"/>
          <w:sz w:val="21"/>
          <w:szCs w:val="24"/>
        </w:rPr>
        <w:t>发现这种渐进</w:t>
      </w:r>
      <w:r>
        <w:rPr>
          <w:rFonts w:hint="eastAsia" w:ascii="Times New Roman" w:hAnsi="Times New Roman" w:eastAsia="宋体"/>
          <w:color w:val="auto"/>
          <w:kern w:val="0"/>
          <w:sz w:val="21"/>
          <w:szCs w:val="24"/>
          <w:lang w:val="en-US" w:eastAsia="zh-CN"/>
        </w:rPr>
        <w:t>增大</w:t>
      </w:r>
      <w:r>
        <w:rPr>
          <w:rFonts w:ascii="Times New Roman" w:hAnsi="Times New Roman" w:eastAsia="宋体"/>
          <w:color w:val="auto"/>
          <w:kern w:val="0"/>
          <w:sz w:val="21"/>
          <w:szCs w:val="24"/>
        </w:rPr>
        <w:t>的趋势见于室</w:t>
      </w:r>
      <w:r>
        <w:rPr>
          <w:rFonts w:hint="eastAsia" w:ascii="Times New Roman" w:hAnsi="Times New Roman" w:eastAsia="宋体"/>
          <w:color w:val="auto"/>
          <w:kern w:val="0"/>
          <w:sz w:val="21"/>
          <w:szCs w:val="24"/>
          <w:lang w:val="en-US" w:eastAsia="zh-CN"/>
        </w:rPr>
        <w:t>外</w:t>
      </w:r>
      <w:r>
        <w:rPr>
          <w:rFonts w:ascii="Times New Roman" w:hAnsi="Times New Roman" w:eastAsia="宋体"/>
          <w:color w:val="auto"/>
          <w:kern w:val="0"/>
          <w:sz w:val="21"/>
          <w:szCs w:val="24"/>
        </w:rPr>
        <w:t>步行组内（</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00</w:t>
      </w:r>
      <w:r>
        <w:rPr>
          <w:rFonts w:ascii="Times New Roman" w:hAnsi="Times New Roman" w:eastAsia="宋体"/>
          <w:color w:val="auto"/>
          <w:kern w:val="0"/>
          <w:sz w:val="21"/>
          <w:szCs w:val="24"/>
        </w:rPr>
        <w:t>，</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046），与PTA</w:t>
      </w:r>
      <w:r>
        <w:rPr>
          <w:rFonts w:ascii="Times New Roman" w:hAnsi="Times New Roman" w:eastAsia="宋体"/>
          <w:color w:val="auto"/>
          <w:kern w:val="0"/>
          <w:sz w:val="21"/>
          <w:szCs w:val="24"/>
          <w:vertAlign w:val="subscript"/>
        </w:rPr>
        <w:t>ROM1</w:t>
      </w:r>
      <w:r>
        <w:rPr>
          <w:rFonts w:ascii="Times New Roman" w:hAnsi="Times New Roman" w:eastAsia="宋体"/>
          <w:color w:val="auto"/>
          <w:kern w:val="0"/>
          <w:sz w:val="21"/>
          <w:szCs w:val="24"/>
        </w:rPr>
        <w:t>相比，PTA</w:t>
      </w:r>
      <w:r>
        <w:rPr>
          <w:rFonts w:ascii="Times New Roman" w:hAnsi="Times New Roman" w:eastAsia="宋体"/>
          <w:color w:val="auto"/>
          <w:kern w:val="0"/>
          <w:sz w:val="21"/>
          <w:szCs w:val="24"/>
          <w:vertAlign w:val="subscript"/>
        </w:rPr>
        <w:t>ROM2</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ROM3</w:t>
      </w:r>
      <w:r>
        <w:rPr>
          <w:rFonts w:ascii="Times New Roman" w:hAnsi="Times New Roman" w:eastAsia="宋体"/>
          <w:color w:val="auto"/>
          <w:kern w:val="0"/>
          <w:sz w:val="21"/>
          <w:szCs w:val="24"/>
        </w:rPr>
        <w:t>逐渐增大，且PTA</w:t>
      </w:r>
      <w:r>
        <w:rPr>
          <w:rFonts w:ascii="Times New Roman" w:hAnsi="Times New Roman" w:eastAsia="宋体"/>
          <w:color w:val="auto"/>
          <w:kern w:val="0"/>
          <w:sz w:val="21"/>
          <w:szCs w:val="24"/>
          <w:vertAlign w:val="subscript"/>
        </w:rPr>
        <w:t>ROM3</w:t>
      </w:r>
      <w:r>
        <w:rPr>
          <w:rFonts w:ascii="Times New Roman" w:hAnsi="Times New Roman" w:eastAsia="宋体"/>
          <w:color w:val="auto"/>
          <w:kern w:val="0"/>
          <w:sz w:val="21"/>
          <w:szCs w:val="24"/>
        </w:rPr>
        <w:t>与PTA</w:t>
      </w:r>
      <w:r>
        <w:rPr>
          <w:rFonts w:ascii="Times New Roman" w:hAnsi="Times New Roman" w:eastAsia="宋体"/>
          <w:color w:val="auto"/>
          <w:kern w:val="0"/>
          <w:sz w:val="21"/>
          <w:szCs w:val="24"/>
          <w:vertAlign w:val="subscript"/>
        </w:rPr>
        <w:t>ROM1</w:t>
      </w:r>
      <w:r>
        <w:rPr>
          <w:rFonts w:ascii="Times New Roman" w:hAnsi="Times New Roman" w:eastAsia="宋体"/>
          <w:color w:val="auto"/>
          <w:kern w:val="0"/>
          <w:sz w:val="21"/>
          <w:szCs w:val="24"/>
        </w:rPr>
        <w:t>之间差异有统计学意义；室内步行组内，虽PTA</w:t>
      </w:r>
      <w:r>
        <w:rPr>
          <w:rFonts w:ascii="Times New Roman" w:hAnsi="Times New Roman" w:eastAsia="宋体"/>
          <w:color w:val="auto"/>
          <w:kern w:val="0"/>
          <w:sz w:val="21"/>
          <w:szCs w:val="24"/>
          <w:vertAlign w:val="subscript"/>
        </w:rPr>
        <w:t>ROM2</w:t>
      </w:r>
      <w:r>
        <w:rPr>
          <w:rFonts w:ascii="Times New Roman" w:hAnsi="Times New Roman" w:eastAsia="宋体"/>
          <w:color w:val="auto"/>
          <w:kern w:val="0"/>
          <w:sz w:val="21"/>
          <w:szCs w:val="24"/>
        </w:rPr>
        <w:t>、PTA</w:t>
      </w:r>
      <w:r>
        <w:rPr>
          <w:rFonts w:ascii="Times New Roman" w:hAnsi="Times New Roman" w:eastAsia="宋体"/>
          <w:color w:val="auto"/>
          <w:kern w:val="0"/>
          <w:sz w:val="21"/>
          <w:szCs w:val="24"/>
          <w:vertAlign w:val="subscript"/>
        </w:rPr>
        <w:t>ROM3</w:t>
      </w:r>
      <w:r>
        <w:rPr>
          <w:rFonts w:ascii="Times New Roman" w:hAnsi="Times New Roman" w:eastAsia="宋体"/>
          <w:color w:val="auto"/>
          <w:kern w:val="0"/>
          <w:sz w:val="21"/>
          <w:szCs w:val="24"/>
        </w:rPr>
        <w:t>较PTA</w:t>
      </w:r>
      <w:r>
        <w:rPr>
          <w:rFonts w:ascii="Times New Roman" w:hAnsi="Times New Roman" w:eastAsia="宋体"/>
          <w:color w:val="auto"/>
          <w:kern w:val="0"/>
          <w:sz w:val="21"/>
          <w:szCs w:val="24"/>
          <w:vertAlign w:val="subscript"/>
        </w:rPr>
        <w:t>ROM1</w:t>
      </w:r>
      <w:r>
        <w:rPr>
          <w:rFonts w:ascii="Times New Roman" w:hAnsi="Times New Roman" w:eastAsia="宋体"/>
          <w:color w:val="auto"/>
          <w:kern w:val="0"/>
          <w:sz w:val="21"/>
          <w:szCs w:val="24"/>
        </w:rPr>
        <w:t>增大，但</w:t>
      </w:r>
      <w:r>
        <w:rPr>
          <w:rFonts w:ascii="Times New Roman" w:hAnsi="Times New Roman" w:eastAsia="宋体"/>
          <w:color w:val="auto"/>
          <w:kern w:val="0"/>
          <w:sz w:val="21"/>
          <w:szCs w:val="24"/>
          <w:highlight w:val="none"/>
        </w:rPr>
        <w:t>组内</w:t>
      </w:r>
      <w:r>
        <w:rPr>
          <w:rFonts w:hint="eastAsia" w:ascii="Times New Roman" w:hAnsi="Times New Roman" w:eastAsia="宋体"/>
          <w:color w:val="auto"/>
          <w:kern w:val="0"/>
          <w:sz w:val="21"/>
          <w:szCs w:val="24"/>
          <w:highlight w:val="none"/>
          <w:lang w:val="en-US" w:eastAsia="zh-CN"/>
        </w:rPr>
        <w:t>比较</w:t>
      </w:r>
      <w:r>
        <w:rPr>
          <w:rFonts w:ascii="Times New Roman" w:hAnsi="Times New Roman" w:eastAsia="宋体"/>
          <w:color w:val="auto"/>
          <w:kern w:val="0"/>
          <w:sz w:val="21"/>
          <w:szCs w:val="24"/>
        </w:rPr>
        <w:t>差异</w:t>
      </w:r>
      <w:r>
        <w:rPr>
          <w:rFonts w:hint="eastAsia" w:ascii="Times New Roman" w:hAnsi="Times New Roman" w:eastAsia="宋体"/>
          <w:color w:val="auto"/>
          <w:kern w:val="0"/>
          <w:sz w:val="21"/>
          <w:szCs w:val="24"/>
          <w:lang w:val="en-US" w:eastAsia="zh-CN"/>
        </w:rPr>
        <w:t>均无统计学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均＞0.05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。非偏瘫侧骨盆PTA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方面，不管其在分组前还是分组后，PTA</w:t>
      </w:r>
      <w:r>
        <w:rPr>
          <w:rFonts w:ascii="Times New Roman" w:hAnsi="Times New Roman" w:eastAsia="宋体"/>
          <w:color w:val="auto"/>
          <w:kern w:val="0"/>
          <w:sz w:val="21"/>
          <w:szCs w:val="24"/>
          <w:vertAlign w:val="subscript"/>
        </w:rPr>
        <w:t>ROM3</w:t>
      </w:r>
      <w:r>
        <w:rPr>
          <w:rFonts w:ascii="Times New Roman" w:hAnsi="Times New Roman" w:eastAsia="宋体"/>
          <w:color w:val="auto"/>
          <w:kern w:val="0"/>
          <w:sz w:val="21"/>
          <w:szCs w:val="24"/>
        </w:rPr>
        <w:t>均较PTA</w:t>
      </w:r>
      <w:r>
        <w:rPr>
          <w:rFonts w:ascii="Times New Roman" w:hAnsi="Times New Roman" w:eastAsia="宋体"/>
          <w:color w:val="auto"/>
          <w:kern w:val="0"/>
          <w:sz w:val="21"/>
          <w:szCs w:val="24"/>
          <w:vertAlign w:val="subscript"/>
        </w:rPr>
        <w:t>ROM1</w:t>
      </w:r>
      <w:r>
        <w:rPr>
          <w:rFonts w:ascii="Times New Roman" w:hAnsi="Times New Roman" w:eastAsia="宋体"/>
          <w:color w:val="auto"/>
          <w:kern w:val="0"/>
          <w:sz w:val="21"/>
          <w:szCs w:val="24"/>
        </w:rPr>
        <w:t>减小，但差异</w:t>
      </w:r>
      <w:r>
        <w:rPr>
          <w:rFonts w:hint="eastAsia" w:ascii="Times New Roman" w:hAnsi="Times New Roman" w:eastAsia="宋体"/>
          <w:color w:val="auto"/>
          <w:kern w:val="0"/>
          <w:sz w:val="21"/>
          <w:szCs w:val="24"/>
          <w:lang w:val="en-US" w:eastAsia="zh-CN"/>
        </w:rPr>
        <w:t>均无统计学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均＞0.05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表</w:t>
      </w:r>
      <w:r>
        <w:rPr>
          <w:rFonts w:hint="eastAsia"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w:t>
      </w:r>
      <w:r>
        <w:rPr>
          <w:rFonts w:hint="eastAsia" w:ascii="Times New Roman" w:hAnsi="Times New Roman" w:eastAsia="宋体"/>
          <w:color w:val="auto"/>
          <w:kern w:val="0"/>
          <w:sz w:val="21"/>
          <w:szCs w:val="24"/>
        </w:rPr>
        <w:t>8</w:t>
      </w:r>
      <w:r>
        <w:rPr>
          <w:rFonts w:ascii="Times New Roman" w:hAnsi="Times New Roman" w:eastAsia="宋体"/>
          <w:color w:val="auto"/>
          <w:kern w:val="0"/>
          <w:sz w:val="21"/>
          <w:szCs w:val="24"/>
        </w:rPr>
        <w:t>）。</w:t>
      </w:r>
    </w:p>
    <w:p w14:paraId="2EE78D38">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highlight w:val="none"/>
        </w:rPr>
      </w:pPr>
      <w:r>
        <w:rPr>
          <w:rFonts w:hint="eastAsia" w:ascii="Times New Roman" w:hAnsi="Times New Roman" w:eastAsia="宋体"/>
          <w:color w:val="auto"/>
          <w:kern w:val="0"/>
          <w:sz w:val="21"/>
          <w:szCs w:val="24"/>
          <w:highlight w:val="none"/>
        </w:rPr>
        <w:t>（三）</w:t>
      </w:r>
      <w:r>
        <w:rPr>
          <w:rFonts w:ascii="Times New Roman" w:hAnsi="Times New Roman" w:eastAsia="宋体"/>
          <w:color w:val="auto"/>
          <w:kern w:val="0"/>
          <w:sz w:val="21"/>
          <w:szCs w:val="24"/>
          <w:highlight w:val="none"/>
        </w:rPr>
        <w:t>连续步行中骨盆旋内PRA</w:t>
      </w:r>
      <w:r>
        <w:rPr>
          <w:rFonts w:ascii="Times New Roman" w:hAnsi="Times New Roman" w:eastAsia="宋体"/>
          <w:color w:val="auto"/>
          <w:kern w:val="0"/>
          <w:sz w:val="21"/>
          <w:szCs w:val="24"/>
          <w:highlight w:val="none"/>
          <w:vertAlign w:val="subscript"/>
        </w:rPr>
        <w:t>max</w:t>
      </w:r>
      <w:r>
        <w:rPr>
          <w:rFonts w:ascii="Times New Roman" w:hAnsi="Times New Roman" w:eastAsia="宋体"/>
          <w:color w:val="auto"/>
          <w:kern w:val="0"/>
          <w:sz w:val="21"/>
          <w:szCs w:val="24"/>
          <w:highlight w:val="none"/>
        </w:rPr>
        <w:t xml:space="preserve">在不同步行时期之间的比较 </w:t>
      </w:r>
    </w:p>
    <w:p w14:paraId="0F232313">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sz w:val="21"/>
          <w:szCs w:val="24"/>
        </w:rPr>
      </w:pPr>
      <w:r>
        <w:rPr>
          <w:rFonts w:ascii="Times New Roman" w:hAnsi="Times New Roman" w:eastAsia="宋体"/>
          <w:color w:val="auto"/>
          <w:kern w:val="0"/>
          <w:sz w:val="21"/>
          <w:szCs w:val="24"/>
          <w:highlight w:val="none"/>
        </w:rPr>
        <w:t>随着步行时间</w:t>
      </w:r>
      <w:r>
        <w:rPr>
          <w:rFonts w:ascii="Times New Roman" w:hAnsi="Times New Roman" w:eastAsia="宋体"/>
          <w:color w:val="auto"/>
          <w:kern w:val="0"/>
          <w:sz w:val="21"/>
          <w:szCs w:val="24"/>
        </w:rPr>
        <w:t>的</w:t>
      </w:r>
      <w:r>
        <w:rPr>
          <w:rFonts w:ascii="Times New Roman" w:hAnsi="Times New Roman" w:eastAsia="宋体"/>
          <w:color w:val="auto"/>
          <w:kern w:val="0"/>
          <w:sz w:val="21"/>
          <w:szCs w:val="24"/>
          <w:highlight w:val="none"/>
        </w:rPr>
        <w:t>延长，骨盆偏瘫侧PRA</w:t>
      </w:r>
      <w:r>
        <w:rPr>
          <w:rFonts w:ascii="Times New Roman" w:hAnsi="Times New Roman" w:eastAsia="宋体"/>
          <w:color w:val="auto"/>
          <w:kern w:val="0"/>
          <w:sz w:val="21"/>
          <w:szCs w:val="24"/>
          <w:highlight w:val="none"/>
          <w:vertAlign w:val="subscript"/>
        </w:rPr>
        <w:t>max</w:t>
      </w:r>
      <w:r>
        <w:rPr>
          <w:rFonts w:ascii="Times New Roman" w:hAnsi="Times New Roman" w:eastAsia="宋体"/>
          <w:color w:val="auto"/>
          <w:kern w:val="0"/>
          <w:sz w:val="21"/>
          <w:szCs w:val="24"/>
          <w:highlight w:val="none"/>
        </w:rPr>
        <w:t>渐进性减小，</w:t>
      </w:r>
      <w:r>
        <w:rPr>
          <w:rFonts w:hint="eastAsia" w:ascii="Times New Roman" w:hAnsi="Times New Roman" w:eastAsia="宋体"/>
          <w:color w:val="auto"/>
          <w:kern w:val="0"/>
          <w:sz w:val="21"/>
          <w:szCs w:val="24"/>
          <w:highlight w:val="none"/>
          <w:vertAlign w:val="baseline"/>
          <w:lang w:val="en-US" w:eastAsia="zh-CN"/>
        </w:rPr>
        <w:t>组内比较</w:t>
      </w:r>
      <w:r>
        <w:rPr>
          <w:rFonts w:ascii="Times New Roman" w:hAnsi="Times New Roman" w:eastAsia="宋体"/>
          <w:color w:val="auto"/>
          <w:kern w:val="0"/>
          <w:sz w:val="21"/>
          <w:szCs w:val="24"/>
          <w:highlight w:val="none"/>
        </w:rPr>
        <w:t>差异有统计学意义（</w:t>
      </w:r>
      <w:r>
        <w:rPr>
          <w:rFonts w:ascii="Times New Roman" w:hAnsi="Times New Roman" w:eastAsia="宋体"/>
          <w:i/>
          <w:iCs/>
          <w:color w:val="auto"/>
          <w:kern w:val="0"/>
          <w:sz w:val="21"/>
          <w:szCs w:val="24"/>
          <w:highlight w:val="none"/>
        </w:rPr>
        <w:t>F</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3.</w:t>
      </w:r>
      <w:r>
        <w:rPr>
          <w:rFonts w:ascii="Times New Roman" w:hAnsi="Times New Roman" w:eastAsia="宋体"/>
          <w:color w:val="auto"/>
          <w:kern w:val="0"/>
          <w:sz w:val="21"/>
          <w:szCs w:val="24"/>
          <w:highlight w:val="none"/>
        </w:rPr>
        <w:t>306</w:t>
      </w:r>
      <w:r>
        <w:rPr>
          <w:rFonts w:hint="eastAsia" w:ascii="Times New Roman" w:hAnsi="Times New Roman" w:eastAsia="宋体"/>
          <w:color w:val="auto"/>
          <w:kern w:val="0"/>
          <w:sz w:val="21"/>
          <w:szCs w:val="24"/>
          <w:highlight w:val="none"/>
          <w:lang w:eastAsia="zh-CN"/>
        </w:rPr>
        <w:t>，</w:t>
      </w:r>
      <w:r>
        <w:rPr>
          <w:rFonts w:ascii="Times New Roman" w:hAnsi="Times New Roman" w:eastAsia="宋体"/>
          <w:i/>
          <w:iCs/>
          <w:color w:val="auto"/>
          <w:kern w:val="0"/>
          <w:sz w:val="21"/>
          <w:szCs w:val="24"/>
          <w:highlight w:val="none"/>
        </w:rPr>
        <w:t>P</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0.</w:t>
      </w:r>
      <w:r>
        <w:rPr>
          <w:rFonts w:ascii="Times New Roman" w:hAnsi="Times New Roman" w:eastAsia="宋体"/>
          <w:color w:val="auto"/>
          <w:kern w:val="0"/>
          <w:sz w:val="21"/>
          <w:szCs w:val="24"/>
          <w:highlight w:val="none"/>
        </w:rPr>
        <w:t>046）。</w:t>
      </w:r>
      <w:r>
        <w:rPr>
          <w:rFonts w:ascii="Times New Roman" w:hAnsi="Times New Roman" w:eastAsia="宋体"/>
          <w:color w:val="auto"/>
          <w:kern w:val="0"/>
          <w:sz w:val="21"/>
          <w:szCs w:val="24"/>
        </w:rPr>
        <w:t>进一步对室内步行组和室外步行组不同运动时期的PRA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进行分析，</w:t>
      </w:r>
      <w:r>
        <w:rPr>
          <w:rFonts w:hint="eastAsia" w:ascii="Times New Roman" w:hAnsi="Times New Roman" w:eastAsia="宋体"/>
          <w:color w:val="auto"/>
          <w:kern w:val="0"/>
          <w:sz w:val="21"/>
          <w:szCs w:val="24"/>
          <w:lang w:val="en-US" w:eastAsia="zh-CN"/>
        </w:rPr>
        <w:t>结果</w:t>
      </w:r>
      <w:r>
        <w:rPr>
          <w:rFonts w:ascii="Times New Roman" w:hAnsi="Times New Roman" w:eastAsia="宋体"/>
          <w:color w:val="auto"/>
          <w:kern w:val="0"/>
          <w:sz w:val="21"/>
          <w:szCs w:val="24"/>
        </w:rPr>
        <w:t>发现这种渐进减小的趋势见于室内步行组内（</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484，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048），与PRA</w:t>
      </w:r>
      <w:r>
        <w:rPr>
          <w:rFonts w:ascii="Times New Roman" w:hAnsi="Times New Roman" w:eastAsia="宋体"/>
          <w:color w:val="auto"/>
          <w:kern w:val="0"/>
          <w:sz w:val="21"/>
          <w:szCs w:val="24"/>
          <w:vertAlign w:val="subscript"/>
        </w:rPr>
        <w:t>max1</w:t>
      </w:r>
      <w:r>
        <w:rPr>
          <w:rFonts w:ascii="Times New Roman" w:hAnsi="Times New Roman" w:eastAsia="宋体"/>
          <w:color w:val="auto"/>
          <w:kern w:val="0"/>
          <w:sz w:val="21"/>
          <w:szCs w:val="24"/>
        </w:rPr>
        <w:t>相比，PRA</w:t>
      </w:r>
      <w:r>
        <w:rPr>
          <w:rFonts w:ascii="Times New Roman" w:hAnsi="Times New Roman" w:eastAsia="宋体"/>
          <w:color w:val="auto"/>
          <w:kern w:val="0"/>
          <w:sz w:val="21"/>
          <w:szCs w:val="24"/>
          <w:vertAlign w:val="subscript"/>
        </w:rPr>
        <w:t>max2</w:t>
      </w:r>
      <w:r>
        <w:rPr>
          <w:rFonts w:ascii="Times New Roman" w:hAnsi="Times New Roman" w:eastAsia="宋体"/>
          <w:color w:val="auto"/>
          <w:kern w:val="0"/>
          <w:sz w:val="21"/>
          <w:szCs w:val="24"/>
        </w:rPr>
        <w:t>、PRA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逐渐减小，且PRA</w:t>
      </w:r>
      <w:r>
        <w:rPr>
          <w:rFonts w:ascii="Times New Roman" w:hAnsi="Times New Roman" w:eastAsia="宋体"/>
          <w:color w:val="auto"/>
          <w:kern w:val="0"/>
          <w:sz w:val="21"/>
          <w:szCs w:val="24"/>
          <w:vertAlign w:val="subscript"/>
        </w:rPr>
        <w:t>max1</w:t>
      </w:r>
      <w:r>
        <w:rPr>
          <w:rFonts w:ascii="Times New Roman" w:hAnsi="Times New Roman" w:eastAsia="宋体"/>
          <w:color w:val="auto"/>
          <w:kern w:val="0"/>
          <w:sz w:val="21"/>
          <w:szCs w:val="24"/>
        </w:rPr>
        <w:t>和PRA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之间差异有统计学意义；但室外步行组内各运动分期之间差异</w:t>
      </w:r>
      <w:r>
        <w:rPr>
          <w:rFonts w:hint="eastAsia" w:ascii="Times New Roman" w:hAnsi="Times New Roman" w:eastAsia="宋体"/>
          <w:color w:val="auto"/>
          <w:kern w:val="0"/>
          <w:sz w:val="21"/>
          <w:szCs w:val="24"/>
          <w:lang w:val="en-US" w:eastAsia="zh-CN"/>
        </w:rPr>
        <w:t>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。骨盆非偏瘫侧PRA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方面，不管其在分组前还是分组后，虽PRA</w:t>
      </w:r>
      <w:r>
        <w:rPr>
          <w:rFonts w:ascii="Times New Roman" w:hAnsi="Times New Roman" w:eastAsia="宋体"/>
          <w:color w:val="auto"/>
          <w:kern w:val="0"/>
          <w:sz w:val="21"/>
          <w:szCs w:val="24"/>
          <w:vertAlign w:val="subscript"/>
        </w:rPr>
        <w:t>max3</w:t>
      </w:r>
      <w:r>
        <w:rPr>
          <w:rFonts w:ascii="Times New Roman" w:hAnsi="Times New Roman" w:eastAsia="宋体"/>
          <w:color w:val="auto"/>
          <w:kern w:val="0"/>
          <w:sz w:val="21"/>
          <w:szCs w:val="24"/>
        </w:rPr>
        <w:t>均较PRA</w:t>
      </w:r>
      <w:r>
        <w:rPr>
          <w:rFonts w:ascii="Times New Roman" w:hAnsi="Times New Roman" w:eastAsia="宋体"/>
          <w:color w:val="auto"/>
          <w:kern w:val="0"/>
          <w:sz w:val="21"/>
          <w:szCs w:val="24"/>
          <w:vertAlign w:val="subscript"/>
        </w:rPr>
        <w:t>max1</w:t>
      </w:r>
      <w:r>
        <w:rPr>
          <w:rFonts w:ascii="Times New Roman" w:hAnsi="Times New Roman" w:eastAsia="宋体"/>
          <w:color w:val="auto"/>
          <w:kern w:val="0"/>
          <w:sz w:val="21"/>
          <w:szCs w:val="24"/>
        </w:rPr>
        <w:t>减小，但差异</w:t>
      </w:r>
      <w:r>
        <w:rPr>
          <w:rFonts w:hint="eastAsia" w:ascii="Times New Roman" w:hAnsi="Times New Roman" w:eastAsia="宋体"/>
          <w:color w:val="auto"/>
          <w:kern w:val="0"/>
          <w:sz w:val="21"/>
          <w:szCs w:val="24"/>
          <w:lang w:val="en-US" w:eastAsia="zh-CN"/>
        </w:rPr>
        <w:t>均无统计学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均＞0.05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表</w:t>
      </w:r>
      <w:r>
        <w:rPr>
          <w:rFonts w:hint="eastAsia"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w:t>
      </w:r>
      <w:r>
        <w:rPr>
          <w:rFonts w:hint="eastAsia" w:ascii="Times New Roman" w:hAnsi="Times New Roman" w:eastAsia="宋体"/>
          <w:color w:val="auto"/>
          <w:kern w:val="0"/>
          <w:sz w:val="21"/>
          <w:szCs w:val="24"/>
        </w:rPr>
        <w:t>8</w:t>
      </w:r>
      <w:r>
        <w:rPr>
          <w:rFonts w:ascii="Times New Roman" w:hAnsi="Times New Roman" w:eastAsia="宋体"/>
          <w:color w:val="auto"/>
          <w:kern w:val="0"/>
          <w:sz w:val="21"/>
          <w:szCs w:val="24"/>
        </w:rPr>
        <w:t>）。</w:t>
      </w:r>
    </w:p>
    <w:p w14:paraId="52054267">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highlight w:val="none"/>
        </w:rPr>
      </w:pPr>
      <w:r>
        <w:rPr>
          <w:rFonts w:hint="eastAsia" w:ascii="Times New Roman" w:hAnsi="Times New Roman" w:eastAsia="宋体"/>
          <w:color w:val="auto"/>
          <w:kern w:val="0"/>
          <w:sz w:val="21"/>
          <w:szCs w:val="24"/>
          <w:highlight w:val="none"/>
        </w:rPr>
        <w:t>（四）</w:t>
      </w:r>
      <w:r>
        <w:rPr>
          <w:rFonts w:ascii="Times New Roman" w:hAnsi="Times New Roman" w:eastAsia="宋体"/>
          <w:color w:val="auto"/>
          <w:kern w:val="0"/>
          <w:sz w:val="21"/>
          <w:szCs w:val="24"/>
          <w:highlight w:val="none"/>
        </w:rPr>
        <w:t>连续步行中骨盆旋转PRA</w:t>
      </w:r>
      <w:r>
        <w:rPr>
          <w:rFonts w:ascii="Times New Roman" w:hAnsi="Times New Roman" w:eastAsia="宋体"/>
          <w:color w:val="auto"/>
          <w:kern w:val="0"/>
          <w:sz w:val="21"/>
          <w:szCs w:val="24"/>
          <w:highlight w:val="none"/>
          <w:vertAlign w:val="subscript"/>
        </w:rPr>
        <w:t>ROM</w:t>
      </w:r>
      <w:r>
        <w:rPr>
          <w:rFonts w:ascii="Times New Roman" w:hAnsi="Times New Roman" w:eastAsia="宋体"/>
          <w:color w:val="auto"/>
          <w:kern w:val="0"/>
          <w:sz w:val="21"/>
          <w:szCs w:val="24"/>
          <w:highlight w:val="none"/>
        </w:rPr>
        <w:t>在不同步行时期之间的比较</w:t>
      </w:r>
    </w:p>
    <w:p w14:paraId="2ED15398">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highlight w:val="none"/>
        </w:rPr>
        <w:t>随着步行时间</w:t>
      </w:r>
      <w:r>
        <w:rPr>
          <w:rFonts w:ascii="Times New Roman" w:hAnsi="Times New Roman" w:eastAsia="宋体"/>
          <w:color w:val="auto"/>
          <w:kern w:val="0"/>
          <w:sz w:val="21"/>
          <w:szCs w:val="24"/>
        </w:rPr>
        <w:t>的</w:t>
      </w:r>
      <w:r>
        <w:rPr>
          <w:rFonts w:ascii="Times New Roman" w:hAnsi="Times New Roman" w:eastAsia="宋体"/>
          <w:color w:val="auto"/>
          <w:kern w:val="0"/>
          <w:sz w:val="21"/>
          <w:szCs w:val="24"/>
          <w:highlight w:val="none"/>
        </w:rPr>
        <w:t>延长，骨盆PRA</w:t>
      </w:r>
      <w:r>
        <w:rPr>
          <w:rFonts w:ascii="Times New Roman" w:hAnsi="Times New Roman" w:eastAsia="宋体"/>
          <w:color w:val="auto"/>
          <w:kern w:val="0"/>
          <w:sz w:val="21"/>
          <w:szCs w:val="24"/>
          <w:highlight w:val="none"/>
          <w:vertAlign w:val="subscript"/>
        </w:rPr>
        <w:t>ROM</w:t>
      </w:r>
      <w:r>
        <w:rPr>
          <w:rFonts w:ascii="Times New Roman" w:hAnsi="Times New Roman" w:eastAsia="宋体"/>
          <w:color w:val="auto"/>
          <w:kern w:val="0"/>
          <w:sz w:val="21"/>
          <w:szCs w:val="24"/>
          <w:highlight w:val="none"/>
        </w:rPr>
        <w:t>偏瘫侧（</w:t>
      </w:r>
      <w:r>
        <w:rPr>
          <w:rFonts w:ascii="Times New Roman" w:hAnsi="Times New Roman" w:eastAsia="宋体"/>
          <w:i/>
          <w:iCs/>
          <w:color w:val="auto"/>
          <w:kern w:val="0"/>
          <w:sz w:val="21"/>
          <w:szCs w:val="24"/>
          <w:highlight w:val="none"/>
        </w:rPr>
        <w:t>F</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4.</w:t>
      </w:r>
      <w:r>
        <w:rPr>
          <w:rFonts w:ascii="Times New Roman" w:hAnsi="Times New Roman" w:eastAsia="宋体"/>
          <w:color w:val="auto"/>
          <w:kern w:val="0"/>
          <w:sz w:val="21"/>
          <w:szCs w:val="24"/>
          <w:highlight w:val="none"/>
        </w:rPr>
        <w:t>896，</w:t>
      </w:r>
      <w:r>
        <w:rPr>
          <w:rFonts w:ascii="Times New Roman" w:hAnsi="Times New Roman" w:eastAsia="宋体"/>
          <w:i/>
          <w:iCs/>
          <w:color w:val="auto"/>
          <w:kern w:val="0"/>
          <w:sz w:val="21"/>
          <w:szCs w:val="24"/>
          <w:highlight w:val="none"/>
        </w:rPr>
        <w:t>P</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0.</w:t>
      </w:r>
      <w:r>
        <w:rPr>
          <w:rFonts w:ascii="Times New Roman" w:hAnsi="Times New Roman" w:eastAsia="宋体"/>
          <w:color w:val="auto"/>
          <w:kern w:val="0"/>
          <w:sz w:val="21"/>
          <w:szCs w:val="24"/>
          <w:highlight w:val="none"/>
        </w:rPr>
        <w:t>012）、非偏瘫侧（</w:t>
      </w:r>
      <w:r>
        <w:rPr>
          <w:rFonts w:ascii="Times New Roman" w:hAnsi="Times New Roman" w:eastAsia="宋体"/>
          <w:i/>
          <w:iCs/>
          <w:color w:val="auto"/>
          <w:kern w:val="0"/>
          <w:sz w:val="21"/>
          <w:szCs w:val="24"/>
          <w:highlight w:val="none"/>
        </w:rPr>
        <w:t>F</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4.</w:t>
      </w:r>
      <w:r>
        <w:rPr>
          <w:rFonts w:ascii="Times New Roman" w:hAnsi="Times New Roman" w:eastAsia="宋体"/>
          <w:color w:val="auto"/>
          <w:kern w:val="0"/>
          <w:sz w:val="21"/>
          <w:szCs w:val="24"/>
          <w:highlight w:val="none"/>
        </w:rPr>
        <w:t>454，</w:t>
      </w:r>
      <w:r>
        <w:rPr>
          <w:rFonts w:ascii="Times New Roman" w:hAnsi="Times New Roman" w:eastAsia="宋体"/>
          <w:i/>
          <w:iCs/>
          <w:color w:val="auto"/>
          <w:kern w:val="0"/>
          <w:sz w:val="21"/>
          <w:szCs w:val="24"/>
          <w:highlight w:val="none"/>
        </w:rPr>
        <w:t>P</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eastAsia="zh-CN"/>
        </w:rPr>
        <w:t>0.</w:t>
      </w:r>
      <w:r>
        <w:rPr>
          <w:rFonts w:ascii="Times New Roman" w:hAnsi="Times New Roman" w:eastAsia="宋体"/>
          <w:color w:val="auto"/>
          <w:kern w:val="0"/>
          <w:sz w:val="21"/>
          <w:szCs w:val="24"/>
          <w:highlight w:val="none"/>
        </w:rPr>
        <w:t>017）组内均逐渐减小，差异有统计学意义。</w:t>
      </w:r>
      <w:r>
        <w:rPr>
          <w:rFonts w:ascii="Times New Roman" w:hAnsi="Times New Roman" w:eastAsia="宋体"/>
          <w:color w:val="auto"/>
          <w:kern w:val="0"/>
          <w:sz w:val="21"/>
          <w:szCs w:val="24"/>
        </w:rPr>
        <w:t>进一步对偏瘫侧、非偏瘫侧室内步行组和室外步行组不同运动时期的PRA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进行分析，发现室内步行组偏瘫侧（</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2.</w:t>
      </w:r>
      <w:r>
        <w:rPr>
          <w:rFonts w:ascii="Times New Roman" w:hAnsi="Times New Roman" w:eastAsia="宋体"/>
          <w:color w:val="auto"/>
          <w:kern w:val="0"/>
          <w:sz w:val="21"/>
          <w:szCs w:val="24"/>
        </w:rPr>
        <w:t>674，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091）、非偏瘫侧（</w:t>
      </w:r>
      <w:r>
        <w:rPr>
          <w:rFonts w:ascii="Times New Roman" w:hAnsi="Times New Roman" w:eastAsia="宋体"/>
          <w:i/>
          <w:iCs/>
          <w:color w:val="auto"/>
          <w:kern w:val="0"/>
          <w:sz w:val="21"/>
          <w:szCs w:val="24"/>
        </w:rPr>
        <w:t>F</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3.</w:t>
      </w:r>
      <w:r>
        <w:rPr>
          <w:rFonts w:ascii="Times New Roman" w:hAnsi="Times New Roman" w:eastAsia="宋体"/>
          <w:color w:val="auto"/>
          <w:kern w:val="0"/>
          <w:sz w:val="21"/>
          <w:szCs w:val="24"/>
        </w:rPr>
        <w:t>084，</w:t>
      </w:r>
      <w:r>
        <w:rPr>
          <w:rFonts w:ascii="Times New Roman" w:hAnsi="Times New Roman" w:eastAsia="宋体"/>
          <w:i/>
          <w:iCs/>
          <w:color w:val="auto"/>
          <w:kern w:val="0"/>
          <w:sz w:val="21"/>
          <w:szCs w:val="24"/>
        </w:rPr>
        <w:t>P</w:t>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lang w:eastAsia="zh-CN"/>
        </w:rPr>
        <w:t>0.</w:t>
      </w:r>
      <w:r>
        <w:rPr>
          <w:rFonts w:ascii="Times New Roman" w:hAnsi="Times New Roman" w:eastAsia="宋体"/>
          <w:color w:val="auto"/>
          <w:kern w:val="0"/>
          <w:sz w:val="21"/>
          <w:szCs w:val="24"/>
        </w:rPr>
        <w:t>066）组内</w:t>
      </w:r>
      <w:r>
        <w:rPr>
          <w:rFonts w:hint="eastAsia" w:ascii="Times New Roman" w:hAnsi="Times New Roman" w:eastAsia="宋体"/>
          <w:color w:val="auto"/>
          <w:kern w:val="0"/>
          <w:sz w:val="21"/>
          <w:szCs w:val="24"/>
        </w:rPr>
        <w:t>虽呈逐渐减少趋势，但</w:t>
      </w:r>
      <w:r>
        <w:rPr>
          <w:rFonts w:ascii="Times New Roman" w:hAnsi="Times New Roman" w:eastAsia="宋体"/>
          <w:color w:val="auto"/>
          <w:kern w:val="0"/>
          <w:sz w:val="21"/>
          <w:szCs w:val="24"/>
        </w:rPr>
        <w:t>差异</w:t>
      </w:r>
      <w:r>
        <w:rPr>
          <w:rFonts w:hint="eastAsia" w:ascii="Times New Roman" w:hAnsi="Times New Roman" w:eastAsia="宋体"/>
          <w:color w:val="auto"/>
          <w:kern w:val="0"/>
          <w:sz w:val="21"/>
          <w:szCs w:val="24"/>
          <w:lang w:val="en-US" w:eastAsia="zh-CN"/>
        </w:rPr>
        <w:t>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＞0.05</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室外步行组内，不管是偏瘫侧还是非偏瘫侧差异</w:t>
      </w:r>
      <w:r>
        <w:rPr>
          <w:rFonts w:hint="eastAsia" w:ascii="Times New Roman" w:hAnsi="Times New Roman" w:eastAsia="宋体"/>
          <w:color w:val="auto"/>
          <w:kern w:val="0"/>
          <w:sz w:val="21"/>
          <w:szCs w:val="24"/>
          <w:lang w:val="en-US" w:eastAsia="zh-CN"/>
        </w:rPr>
        <w:t>亦无统计学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表</w:t>
      </w:r>
      <w:r>
        <w:rPr>
          <w:rFonts w:hint="eastAsia"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~7</w:t>
      </w:r>
      <w:r>
        <w:rPr>
          <w:rFonts w:ascii="Times New Roman" w:hAnsi="Times New Roman" w:eastAsia="宋体"/>
          <w:color w:val="auto"/>
          <w:kern w:val="0"/>
          <w:sz w:val="21"/>
          <w:szCs w:val="24"/>
        </w:rPr>
        <w:t>）。</w:t>
      </w:r>
    </w:p>
    <w:p w14:paraId="2F80B075">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rPr>
        <w:t>（五）</w:t>
      </w:r>
      <w:r>
        <w:rPr>
          <w:rFonts w:ascii="Times New Roman" w:hAnsi="Times New Roman" w:eastAsia="宋体"/>
          <w:color w:val="auto"/>
          <w:kern w:val="0"/>
          <w:sz w:val="21"/>
          <w:szCs w:val="24"/>
        </w:rPr>
        <w:t>连续步行中骨盆侧倾POA在不同步行时期之间的比较</w:t>
      </w:r>
    </w:p>
    <w:p w14:paraId="5F057DFE">
      <w:pPr>
        <w:pStyle w:val="2"/>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 xml:space="preserve">    连续步行中骨盆POA</w:t>
      </w:r>
      <w:r>
        <w:rPr>
          <w:rFonts w:ascii="Times New Roman" w:hAnsi="Times New Roman" w:eastAsia="宋体"/>
          <w:color w:val="auto"/>
          <w:kern w:val="0"/>
          <w:sz w:val="21"/>
          <w:szCs w:val="24"/>
          <w:vertAlign w:val="subscript"/>
        </w:rPr>
        <w:t>max</w:t>
      </w:r>
      <w:r>
        <w:rPr>
          <w:rFonts w:ascii="Times New Roman" w:hAnsi="Times New Roman" w:eastAsia="宋体"/>
          <w:color w:val="auto"/>
          <w:kern w:val="0"/>
          <w:sz w:val="21"/>
          <w:szCs w:val="24"/>
        </w:rPr>
        <w:t>、POA</w:t>
      </w:r>
      <w:r>
        <w:rPr>
          <w:rFonts w:ascii="Times New Roman" w:hAnsi="Times New Roman" w:eastAsia="宋体"/>
          <w:color w:val="auto"/>
          <w:kern w:val="0"/>
          <w:sz w:val="21"/>
          <w:szCs w:val="24"/>
          <w:vertAlign w:val="subscript"/>
        </w:rPr>
        <w:t>ROM</w:t>
      </w:r>
      <w:r>
        <w:rPr>
          <w:rFonts w:ascii="Times New Roman" w:hAnsi="Times New Roman" w:eastAsia="宋体"/>
          <w:color w:val="auto"/>
          <w:kern w:val="0"/>
          <w:sz w:val="21"/>
          <w:szCs w:val="24"/>
        </w:rPr>
        <w:t>不管是偏瘫侧、非偏瘫侧，或者室内步行组、室外步行组内</w:t>
      </w:r>
      <w:r>
        <w:rPr>
          <w:rFonts w:hint="eastAsia" w:ascii="Times New Roman" w:hAnsi="Times New Roman" w:eastAsia="宋体"/>
          <w:color w:val="auto"/>
          <w:kern w:val="0"/>
          <w:sz w:val="21"/>
          <w:szCs w:val="24"/>
          <w:lang w:val="en-US" w:eastAsia="zh-CN"/>
        </w:rPr>
        <w:t>差异</w:t>
      </w:r>
      <w:r>
        <w:rPr>
          <w:rFonts w:ascii="Times New Roman" w:hAnsi="Times New Roman" w:eastAsia="宋体"/>
          <w:color w:val="auto"/>
          <w:kern w:val="0"/>
          <w:sz w:val="21"/>
          <w:szCs w:val="24"/>
        </w:rPr>
        <w:t>均</w:t>
      </w:r>
      <w:r>
        <w:rPr>
          <w:rFonts w:hint="eastAsia" w:ascii="Times New Roman" w:hAnsi="Times New Roman" w:eastAsia="宋体"/>
          <w:color w:val="auto"/>
          <w:kern w:val="0"/>
          <w:sz w:val="21"/>
          <w:szCs w:val="24"/>
          <w:lang w:val="en-US" w:eastAsia="zh-CN"/>
        </w:rPr>
        <w:t>无统计学</w:t>
      </w:r>
      <w:r>
        <w:rPr>
          <w:rFonts w:ascii="Times New Roman" w:hAnsi="Times New Roman" w:eastAsia="宋体"/>
          <w:color w:val="auto"/>
          <w:kern w:val="0"/>
          <w:sz w:val="21"/>
          <w:szCs w:val="24"/>
        </w:rPr>
        <w:t>意义</w:t>
      </w:r>
      <w:r>
        <w:rPr>
          <w:rFonts w:hint="eastAsia" w:ascii="Times New Roman" w:hAnsi="Times New Roman" w:eastAsia="宋体"/>
          <w:color w:val="auto"/>
          <w:kern w:val="0"/>
          <w:sz w:val="21"/>
          <w:szCs w:val="24"/>
          <w:lang w:eastAsia="zh-CN"/>
        </w:rPr>
        <w:t>（</w:t>
      </w:r>
      <w:r>
        <w:rPr>
          <w:rFonts w:hint="eastAsia" w:ascii="Times New Roman" w:hAnsi="Times New Roman" w:eastAsia="宋体"/>
          <w:i/>
          <w:iCs/>
          <w:color w:val="auto"/>
          <w:kern w:val="0"/>
          <w:sz w:val="21"/>
          <w:szCs w:val="24"/>
          <w:lang w:val="en-US" w:eastAsia="zh-CN"/>
        </w:rPr>
        <w:t>P</w:t>
      </w:r>
      <w:r>
        <w:rPr>
          <w:rFonts w:hint="eastAsia" w:ascii="Times New Roman" w:hAnsi="Times New Roman" w:eastAsia="宋体"/>
          <w:color w:val="auto"/>
          <w:kern w:val="0"/>
          <w:sz w:val="21"/>
          <w:szCs w:val="24"/>
          <w:lang w:val="en-US" w:eastAsia="zh-CN"/>
        </w:rPr>
        <w:t>均＞0.05</w:t>
      </w:r>
      <w:r>
        <w:rPr>
          <w:rFonts w:hint="eastAsia" w:ascii="Times New Roman" w:hAnsi="Times New Roman" w:eastAsia="宋体"/>
          <w:color w:val="auto"/>
          <w:kern w:val="0"/>
          <w:sz w:val="21"/>
          <w:szCs w:val="24"/>
          <w:lang w:eastAsia="zh-CN"/>
        </w:rPr>
        <w:t>，</w:t>
      </w:r>
      <w:r>
        <w:rPr>
          <w:rFonts w:ascii="Times New Roman" w:hAnsi="Times New Roman" w:eastAsia="宋体"/>
          <w:color w:val="auto"/>
          <w:kern w:val="0"/>
          <w:sz w:val="21"/>
          <w:szCs w:val="24"/>
        </w:rPr>
        <w:t>表</w:t>
      </w:r>
      <w:r>
        <w:rPr>
          <w:rFonts w:hint="eastAsia" w:ascii="Times New Roman" w:hAnsi="Times New Roman" w:eastAsia="宋体"/>
          <w:color w:val="auto"/>
          <w:kern w:val="0"/>
          <w:sz w:val="21"/>
          <w:szCs w:val="24"/>
        </w:rPr>
        <w:t>5</w:t>
      </w:r>
      <w:r>
        <w:rPr>
          <w:rFonts w:hint="eastAsia" w:ascii="Times New Roman" w:hAnsi="Times New Roman" w:eastAsia="宋体"/>
          <w:color w:val="auto"/>
          <w:kern w:val="0"/>
          <w:sz w:val="21"/>
          <w:szCs w:val="24"/>
          <w:lang w:val="en-US" w:eastAsia="zh-CN"/>
        </w:rPr>
        <w:t>~7</w:t>
      </w:r>
      <w:r>
        <w:rPr>
          <w:rFonts w:ascii="Times New Roman" w:hAnsi="Times New Roman" w:eastAsia="宋体"/>
          <w:color w:val="auto"/>
          <w:kern w:val="0"/>
          <w:sz w:val="21"/>
          <w:szCs w:val="24"/>
        </w:rPr>
        <w:t>）。</w:t>
      </w:r>
    </w:p>
    <w:p w14:paraId="1331681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kern w:val="0"/>
          <w:sz w:val="21"/>
          <w:szCs w:val="24"/>
          <w:lang w:eastAsia="zh-CN"/>
        </w:rPr>
      </w:pPr>
      <w:r>
        <w:rPr>
          <w:rFonts w:ascii="Times New Roman" w:hAnsi="Times New Roman" w:eastAsia="宋体"/>
          <w:b/>
          <w:bCs/>
          <w:color w:val="auto"/>
          <w:kern w:val="0"/>
          <w:sz w:val="21"/>
          <w:szCs w:val="24"/>
        </w:rPr>
        <w:t>表</w:t>
      </w:r>
      <w:r>
        <w:rPr>
          <w:rFonts w:hint="eastAsia" w:ascii="Times New Roman" w:hAnsi="Times New Roman" w:eastAsia="宋体"/>
          <w:b/>
          <w:bCs/>
          <w:color w:val="auto"/>
          <w:kern w:val="0"/>
          <w:sz w:val="21"/>
          <w:szCs w:val="24"/>
        </w:rPr>
        <w:t>5</w:t>
      </w:r>
      <w:r>
        <w:rPr>
          <w:rFonts w:ascii="Times New Roman" w:hAnsi="Times New Roman" w:eastAsia="宋体"/>
          <w:color w:val="auto"/>
          <w:kern w:val="0"/>
          <w:sz w:val="21"/>
          <w:szCs w:val="24"/>
        </w:rPr>
        <w:t xml:space="preserve">  骨盆X轴和Z轴各组不同步行时期各指标的描述统计结果</w:t>
      </w:r>
      <w:r>
        <w:rPr>
          <w:rFonts w:hint="eastAsia" w:ascii="Times New Roman" w:hAnsi="Times New Roman" w:eastAsia="宋体"/>
          <w:color w:val="auto"/>
          <w:kern w:val="0"/>
          <w:sz w:val="21"/>
          <w:szCs w:val="24"/>
          <w:lang w:eastAsia="zh-CN"/>
        </w:rPr>
        <w:t>（</w:t>
      </w:r>
      <w:r>
        <w:rPr>
          <w:rFonts w:hint="eastAsia" w:ascii="Times New Roman" w:hAnsi="Times New Roman" w:eastAsia="宋体"/>
          <w:color w:val="auto"/>
          <w:kern w:val="0"/>
          <w:sz w:val="21"/>
          <w:szCs w:val="24"/>
          <w:highlight w:val="none"/>
          <w:lang w:val="en-US" w:eastAsia="zh-CN"/>
        </w:rPr>
        <w:t>°，</w:t>
      </w:r>
      <w:r>
        <w:rPr>
          <w:rFonts w:ascii="Times New Roman" w:hAnsi="Times New Roman" w:eastAsia="宋体"/>
          <w:i/>
          <w:color w:val="auto"/>
          <w:position w:val="-6"/>
          <w:sz w:val="21"/>
          <w:szCs w:val="21"/>
        </w:rPr>
        <w:object>
          <v:shape id="_x0000_i1034" o:spt="75" type="#_x0000_t75" style="height:17.25pt;width:9.75pt;" o:ole="t" filled="f" o:preferrelative="t" stroked="f" coordsize="21600,21600">
            <v:path/>
            <v:fill on="f" focussize="0,0"/>
            <v:stroke on="f" joinstyle="miter"/>
            <v:imagedata r:id="rId16" o:title=""/>
            <o:lock v:ext="edit" aspectratio="t"/>
            <w10:wrap type="none"/>
            <w10:anchorlock/>
          </v:shape>
          <o:OLEObject Type="Embed" ProgID="Equation.3" ShapeID="_x0000_i1034" DrawAspect="Content" ObjectID="_1468075734" r:id="rId15">
            <o:LockedField>false</o:LockedField>
          </o:OLEObject>
        </w:object>
      </w:r>
      <w:r>
        <w:rPr>
          <w:rFonts w:ascii="Times New Roman" w:hAnsi="Times New Roman" w:eastAsia="宋体"/>
          <w:color w:val="auto"/>
          <w:kern w:val="0"/>
          <w:sz w:val="21"/>
          <w:szCs w:val="21"/>
        </w:rPr>
        <w:t>±</w:t>
      </w:r>
      <w:r>
        <w:rPr>
          <w:rFonts w:ascii="Times New Roman" w:hAnsi="Times New Roman" w:eastAsia="宋体"/>
          <w:i/>
          <w:iCs/>
          <w:color w:val="auto"/>
          <w:kern w:val="0"/>
          <w:sz w:val="21"/>
          <w:szCs w:val="21"/>
        </w:rPr>
        <w:t>s</w:t>
      </w:r>
      <w:r>
        <w:rPr>
          <w:rFonts w:hint="eastAsia" w:ascii="Times New Roman" w:hAnsi="Times New Roman" w:eastAsia="宋体"/>
          <w:color w:val="auto"/>
          <w:kern w:val="0"/>
          <w:sz w:val="21"/>
          <w:szCs w:val="24"/>
          <w:lang w:eastAsia="zh-CN"/>
        </w:rPr>
        <w:t>）</w:t>
      </w:r>
    </w:p>
    <w:tbl>
      <w:tblPr>
        <w:tblStyle w:val="10"/>
        <w:tblW w:w="4996" w:type="pct"/>
        <w:jc w:val="center"/>
        <w:tblLayout w:type="autofit"/>
        <w:tblCellMar>
          <w:top w:w="0" w:type="dxa"/>
          <w:left w:w="108" w:type="dxa"/>
          <w:bottom w:w="0" w:type="dxa"/>
          <w:right w:w="108" w:type="dxa"/>
        </w:tblCellMar>
      </w:tblPr>
      <w:tblGrid>
        <w:gridCol w:w="1041"/>
        <w:gridCol w:w="1410"/>
        <w:gridCol w:w="1176"/>
        <w:gridCol w:w="1410"/>
        <w:gridCol w:w="1410"/>
        <w:gridCol w:w="1410"/>
        <w:gridCol w:w="689"/>
        <w:gridCol w:w="689"/>
      </w:tblGrid>
      <w:tr w14:paraId="2FEF7B88">
        <w:tblPrEx>
          <w:tblCellMar>
            <w:top w:w="0" w:type="dxa"/>
            <w:left w:w="108" w:type="dxa"/>
            <w:bottom w:w="0" w:type="dxa"/>
            <w:right w:w="108" w:type="dxa"/>
          </w:tblCellMar>
        </w:tblPrEx>
        <w:trPr>
          <w:trHeight w:val="936" w:hRule="atLeast"/>
          <w:jc w:val="center"/>
        </w:trPr>
        <w:tc>
          <w:tcPr>
            <w:tcW w:w="565" w:type="pct"/>
            <w:tcBorders>
              <w:top w:val="single" w:color="000000" w:sz="8" w:space="0"/>
              <w:left w:val="nil"/>
              <w:right w:val="nil"/>
            </w:tcBorders>
            <w:shd w:val="clear" w:color="auto" w:fill="auto"/>
            <w:noWrap/>
            <w:vAlign w:val="center"/>
          </w:tcPr>
          <w:p w14:paraId="69732C2B">
            <w:pPr>
              <w:keepNext w:val="0"/>
              <w:keepLines w:val="0"/>
              <w:pageBreakBefore w:val="0"/>
              <w:kinsoku/>
              <w:wordWrap/>
              <w:overflowPunct/>
              <w:topLinePunct w:val="0"/>
              <w:autoSpaceDE/>
              <w:autoSpaceDN/>
              <w:bidi w:val="0"/>
              <w:adjustRightInd/>
              <w:snapToGrid/>
              <w:spacing w:beforeAutospacing="0" w:afterAutospacing="0" w:line="360" w:lineRule="auto"/>
              <w:rPr>
                <w:rFonts w:hint="eastAsia" w:ascii="Times New Roman" w:hAnsi="Times New Roman" w:eastAsia="宋体"/>
                <w:color w:val="auto"/>
                <w:sz w:val="21"/>
                <w:szCs w:val="24"/>
                <w:lang w:eastAsia="zh-CN"/>
              </w:rPr>
            </w:pPr>
            <w:r>
              <w:rPr>
                <w:rFonts w:hint="eastAsia" w:ascii="Times New Roman" w:hAnsi="Times New Roman" w:eastAsia="宋体"/>
                <w:color w:val="auto"/>
                <w:kern w:val="0"/>
                <w:sz w:val="21"/>
                <w:szCs w:val="24"/>
                <w:lang w:val="en-US" w:eastAsia="zh-CN"/>
              </w:rPr>
              <w:t>变量</w:t>
            </w:r>
          </w:p>
        </w:tc>
        <w:tc>
          <w:tcPr>
            <w:tcW w:w="765" w:type="pct"/>
            <w:tcBorders>
              <w:top w:val="single" w:color="000000" w:sz="8" w:space="0"/>
              <w:left w:val="nil"/>
              <w:right w:val="nil"/>
            </w:tcBorders>
            <w:shd w:val="clear" w:color="auto" w:fill="auto"/>
            <w:vAlign w:val="center"/>
          </w:tcPr>
          <w:p w14:paraId="02726A75">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hint="eastAsia" w:ascii="Times New Roman" w:hAnsi="Times New Roman" w:eastAsia="宋体"/>
                <w:color w:val="auto"/>
                <w:sz w:val="21"/>
                <w:szCs w:val="24"/>
                <w:lang w:eastAsia="zh-CN"/>
              </w:rPr>
            </w:pPr>
            <w:r>
              <w:rPr>
                <w:rFonts w:hint="eastAsia" w:ascii="Times New Roman" w:hAnsi="Times New Roman" w:eastAsia="宋体"/>
                <w:color w:val="auto"/>
                <w:kern w:val="0"/>
                <w:sz w:val="21"/>
                <w:szCs w:val="24"/>
                <w:lang w:eastAsia="zh-CN" w:bidi="ar"/>
              </w:rPr>
              <w:t>组别</w:t>
            </w:r>
          </w:p>
        </w:tc>
        <w:tc>
          <w:tcPr>
            <w:tcW w:w="638" w:type="pct"/>
            <w:tcBorders>
              <w:top w:val="single" w:color="000000" w:sz="8" w:space="0"/>
              <w:left w:val="nil"/>
              <w:bottom w:val="single" w:color="000000" w:sz="8" w:space="0"/>
              <w:right w:val="nil"/>
            </w:tcBorders>
            <w:shd w:val="clear" w:color="auto" w:fill="auto"/>
            <w:vAlign w:val="center"/>
          </w:tcPr>
          <w:p w14:paraId="7A6AAF2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s="宋体"/>
                <w:i w:val="0"/>
                <w:iCs w:val="0"/>
                <w:color w:val="auto"/>
                <w:sz w:val="21"/>
                <w:szCs w:val="24"/>
                <w:u w:val="none"/>
                <w:lang w:val="en-US" w:eastAsia="zh-CN"/>
              </w:rPr>
              <w:t>侧别</w:t>
            </w:r>
          </w:p>
        </w:tc>
        <w:tc>
          <w:tcPr>
            <w:tcW w:w="765" w:type="pct"/>
            <w:tcBorders>
              <w:top w:val="single" w:color="000000" w:sz="8" w:space="0"/>
              <w:left w:val="nil"/>
              <w:bottom w:val="single" w:color="auto" w:sz="4" w:space="0"/>
              <w:right w:val="nil"/>
            </w:tcBorders>
            <w:shd w:val="clear" w:color="auto" w:fill="auto"/>
            <w:vAlign w:val="center"/>
          </w:tcPr>
          <w:p w14:paraId="69CDF17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步行初期</w:t>
            </w:r>
          </w:p>
        </w:tc>
        <w:tc>
          <w:tcPr>
            <w:tcW w:w="765" w:type="pct"/>
            <w:tcBorders>
              <w:top w:val="single" w:color="000000" w:sz="8" w:space="0"/>
              <w:left w:val="nil"/>
              <w:bottom w:val="single" w:color="auto" w:sz="4" w:space="0"/>
              <w:right w:val="nil"/>
            </w:tcBorders>
            <w:shd w:val="clear" w:color="auto" w:fill="auto"/>
            <w:vAlign w:val="center"/>
          </w:tcPr>
          <w:p w14:paraId="1CB536A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步行中期</w:t>
            </w:r>
          </w:p>
        </w:tc>
        <w:tc>
          <w:tcPr>
            <w:tcW w:w="765" w:type="pct"/>
            <w:tcBorders>
              <w:top w:val="single" w:color="000000" w:sz="8" w:space="0"/>
              <w:left w:val="nil"/>
              <w:bottom w:val="single" w:color="auto" w:sz="4" w:space="0"/>
              <w:right w:val="nil"/>
            </w:tcBorders>
            <w:shd w:val="clear" w:color="auto" w:fill="auto"/>
            <w:noWrap/>
            <w:vAlign w:val="center"/>
          </w:tcPr>
          <w:p w14:paraId="6EFF598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步行晚期</w:t>
            </w:r>
          </w:p>
        </w:tc>
        <w:tc>
          <w:tcPr>
            <w:tcW w:w="366" w:type="pct"/>
            <w:tcBorders>
              <w:top w:val="single" w:color="000000" w:sz="8" w:space="0"/>
              <w:left w:val="nil"/>
              <w:bottom w:val="single" w:color="000000" w:sz="8" w:space="0"/>
              <w:right w:val="nil"/>
            </w:tcBorders>
            <w:shd w:val="clear" w:color="auto" w:fill="auto"/>
            <w:noWrap/>
            <w:vAlign w:val="center"/>
          </w:tcPr>
          <w:p w14:paraId="51AF73E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val="en-US" w:eastAsia="zh-CN" w:bidi="ar"/>
              </w:rPr>
            </w:pPr>
            <w:r>
              <w:rPr>
                <w:rFonts w:hint="eastAsia" w:ascii="Times New Roman" w:hAnsi="Times New Roman" w:eastAsia="宋体"/>
                <w:i/>
                <w:iCs/>
                <w:color w:val="auto"/>
                <w:kern w:val="0"/>
                <w:sz w:val="21"/>
                <w:szCs w:val="24"/>
                <w:lang w:val="en-US" w:eastAsia="zh-CN" w:bidi="ar"/>
              </w:rPr>
              <w:t>F</w:t>
            </w:r>
            <w:r>
              <w:rPr>
                <w:rFonts w:hint="eastAsia" w:ascii="Times New Roman" w:hAnsi="Times New Roman" w:eastAsia="宋体"/>
                <w:color w:val="auto"/>
                <w:kern w:val="0"/>
                <w:sz w:val="21"/>
                <w:szCs w:val="24"/>
                <w:lang w:val="en-US" w:eastAsia="zh-CN" w:bidi="ar"/>
              </w:rPr>
              <w:t>值</w:t>
            </w:r>
          </w:p>
        </w:tc>
        <w:tc>
          <w:tcPr>
            <w:tcW w:w="366" w:type="pct"/>
            <w:tcBorders>
              <w:top w:val="single" w:color="000000" w:sz="8" w:space="0"/>
              <w:left w:val="nil"/>
              <w:bottom w:val="single" w:color="000000" w:sz="8" w:space="0"/>
              <w:right w:val="nil"/>
            </w:tcBorders>
            <w:shd w:val="clear" w:color="auto" w:fill="auto"/>
            <w:noWrap/>
            <w:vAlign w:val="center"/>
          </w:tcPr>
          <w:p w14:paraId="1689BF7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val="en-US" w:eastAsia="zh-CN" w:bidi="ar"/>
              </w:rPr>
            </w:pPr>
            <w:r>
              <w:rPr>
                <w:rFonts w:hint="eastAsia" w:ascii="Times New Roman" w:hAnsi="Times New Roman" w:eastAsia="宋体"/>
                <w:i/>
                <w:iCs/>
                <w:color w:val="auto"/>
                <w:kern w:val="0"/>
                <w:sz w:val="21"/>
                <w:szCs w:val="24"/>
                <w:lang w:val="en-US" w:eastAsia="zh-CN" w:bidi="ar"/>
              </w:rPr>
              <w:t>P</w:t>
            </w:r>
            <w:r>
              <w:rPr>
                <w:rFonts w:hint="eastAsia" w:ascii="Times New Roman" w:hAnsi="Times New Roman" w:eastAsia="宋体"/>
                <w:color w:val="auto"/>
                <w:kern w:val="0"/>
                <w:sz w:val="21"/>
                <w:szCs w:val="24"/>
                <w:lang w:val="en-US" w:eastAsia="zh-CN" w:bidi="ar"/>
              </w:rPr>
              <w:t>值</w:t>
            </w:r>
          </w:p>
        </w:tc>
      </w:tr>
      <w:tr w14:paraId="272D4B6A">
        <w:tblPrEx>
          <w:tblCellMar>
            <w:top w:w="0" w:type="dxa"/>
            <w:left w:w="108" w:type="dxa"/>
            <w:bottom w:w="0" w:type="dxa"/>
            <w:right w:w="108" w:type="dxa"/>
          </w:tblCellMar>
        </w:tblPrEx>
        <w:trPr>
          <w:trHeight w:val="270" w:hRule="atLeast"/>
          <w:jc w:val="center"/>
        </w:trPr>
        <w:tc>
          <w:tcPr>
            <w:tcW w:w="565" w:type="pct"/>
            <w:vMerge w:val="restart"/>
            <w:tcBorders>
              <w:top w:val="nil"/>
              <w:left w:val="nil"/>
              <w:bottom w:val="nil"/>
              <w:right w:val="nil"/>
            </w:tcBorders>
            <w:shd w:val="clear" w:color="auto" w:fill="auto"/>
            <w:noWrap/>
            <w:vAlign w:val="center"/>
          </w:tcPr>
          <w:p w14:paraId="1C796C5A">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w:t>
            </w:r>
          </w:p>
        </w:tc>
        <w:tc>
          <w:tcPr>
            <w:tcW w:w="765" w:type="pct"/>
            <w:vMerge w:val="restart"/>
            <w:tcBorders>
              <w:top w:val="nil"/>
              <w:left w:val="nil"/>
              <w:bottom w:val="nil"/>
              <w:right w:val="nil"/>
            </w:tcBorders>
            <w:shd w:val="clear" w:color="auto" w:fill="auto"/>
            <w:noWrap/>
            <w:vAlign w:val="center"/>
          </w:tcPr>
          <w:p w14:paraId="793E8857">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6F01750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single" w:color="auto" w:sz="4" w:space="0"/>
              <w:left w:val="nil"/>
              <w:bottom w:val="nil"/>
              <w:right w:val="nil"/>
            </w:tcBorders>
            <w:shd w:val="clear" w:color="auto" w:fill="auto"/>
            <w:noWrap/>
            <w:vAlign w:val="top"/>
          </w:tcPr>
          <w:p w14:paraId="25F37E7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lang w:val="en-US" w:eastAsia="zh-CN"/>
              </w:rPr>
              <w:t>70</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21</w:t>
            </w:r>
          </w:p>
        </w:tc>
        <w:tc>
          <w:tcPr>
            <w:tcW w:w="765" w:type="pct"/>
            <w:tcBorders>
              <w:top w:val="single" w:color="auto" w:sz="4" w:space="0"/>
              <w:left w:val="nil"/>
              <w:bottom w:val="nil"/>
              <w:right w:val="nil"/>
            </w:tcBorders>
            <w:shd w:val="clear" w:color="auto" w:fill="auto"/>
            <w:noWrap/>
            <w:vAlign w:val="top"/>
          </w:tcPr>
          <w:p w14:paraId="0E1C590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38±</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lang w:val="en-US" w:eastAsia="zh-CN"/>
              </w:rPr>
              <w:t>20</w:t>
            </w:r>
          </w:p>
        </w:tc>
        <w:tc>
          <w:tcPr>
            <w:tcW w:w="765" w:type="pct"/>
            <w:tcBorders>
              <w:top w:val="single" w:color="auto" w:sz="4" w:space="0"/>
              <w:left w:val="nil"/>
              <w:bottom w:val="nil"/>
              <w:right w:val="nil"/>
            </w:tcBorders>
            <w:shd w:val="clear" w:color="auto" w:fill="auto"/>
            <w:noWrap/>
            <w:vAlign w:val="top"/>
          </w:tcPr>
          <w:p w14:paraId="54B3918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17</w:t>
            </w:r>
          </w:p>
        </w:tc>
        <w:tc>
          <w:tcPr>
            <w:tcW w:w="366" w:type="pct"/>
            <w:tcBorders>
              <w:top w:val="nil"/>
              <w:left w:val="nil"/>
              <w:bottom w:val="nil"/>
              <w:right w:val="nil"/>
            </w:tcBorders>
            <w:shd w:val="clear" w:color="auto" w:fill="auto"/>
            <w:noWrap/>
            <w:vAlign w:val="center"/>
          </w:tcPr>
          <w:p w14:paraId="046F187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rPr>
            </w:pPr>
            <w:r>
              <w:rPr>
                <w:rFonts w:hint="eastAsia" w:ascii="Times New Roman" w:hAnsi="Times New Roman" w:eastAsia="宋体" w:cs="Times New Roman"/>
                <w:color w:val="auto"/>
                <w:kern w:val="2"/>
                <w:sz w:val="21"/>
                <w:szCs w:val="24"/>
                <w:lang w:eastAsia="zh-CN" w:bidi="ar"/>
              </w:rPr>
              <w:t>3.</w:t>
            </w:r>
            <w:r>
              <w:rPr>
                <w:rFonts w:hint="eastAsia" w:ascii="Times New Roman" w:hAnsi="Times New Roman" w:eastAsia="宋体" w:cs="Times New Roman"/>
                <w:color w:val="auto"/>
                <w:kern w:val="2"/>
                <w:sz w:val="21"/>
                <w:szCs w:val="24"/>
                <w:lang w:bidi="ar"/>
              </w:rPr>
              <w:t>295</w:t>
            </w:r>
          </w:p>
        </w:tc>
        <w:tc>
          <w:tcPr>
            <w:tcW w:w="366" w:type="pct"/>
            <w:tcBorders>
              <w:top w:val="nil"/>
              <w:left w:val="nil"/>
              <w:bottom w:val="nil"/>
              <w:right w:val="nil"/>
            </w:tcBorders>
            <w:shd w:val="clear" w:color="auto" w:fill="auto"/>
            <w:noWrap/>
            <w:vAlign w:val="center"/>
          </w:tcPr>
          <w:p w14:paraId="50B8694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046</w:t>
            </w:r>
          </w:p>
        </w:tc>
      </w:tr>
      <w:tr w14:paraId="7A289830">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40BFB2E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153F9FB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44DEE7C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366D9A6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34±</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2</w:t>
            </w:r>
            <w:r>
              <w:rPr>
                <w:rFonts w:hint="eastAsia" w:ascii="Times New Roman" w:hAnsi="Times New Roman" w:eastAsia="宋体"/>
                <w:color w:val="auto"/>
                <w:sz w:val="21"/>
                <w:szCs w:val="24"/>
                <w:lang w:val="en-US" w:eastAsia="zh-CN"/>
              </w:rPr>
              <w:t>6</w:t>
            </w:r>
          </w:p>
        </w:tc>
        <w:tc>
          <w:tcPr>
            <w:tcW w:w="765" w:type="pct"/>
            <w:tcBorders>
              <w:top w:val="nil"/>
              <w:left w:val="nil"/>
              <w:bottom w:val="nil"/>
              <w:right w:val="nil"/>
            </w:tcBorders>
            <w:shd w:val="clear" w:color="auto" w:fill="auto"/>
            <w:noWrap/>
            <w:vAlign w:val="top"/>
          </w:tcPr>
          <w:p w14:paraId="2EDA1F5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27</w:t>
            </w:r>
          </w:p>
        </w:tc>
        <w:tc>
          <w:tcPr>
            <w:tcW w:w="765" w:type="pct"/>
            <w:tcBorders>
              <w:top w:val="nil"/>
              <w:left w:val="nil"/>
              <w:bottom w:val="nil"/>
              <w:right w:val="nil"/>
            </w:tcBorders>
            <w:shd w:val="clear" w:color="auto" w:fill="auto"/>
            <w:noWrap/>
            <w:vAlign w:val="top"/>
          </w:tcPr>
          <w:p w14:paraId="5F76B7D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55±</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6</w:t>
            </w:r>
          </w:p>
        </w:tc>
        <w:tc>
          <w:tcPr>
            <w:tcW w:w="366" w:type="pct"/>
            <w:tcBorders>
              <w:top w:val="nil"/>
              <w:left w:val="nil"/>
              <w:bottom w:val="nil"/>
              <w:right w:val="nil"/>
            </w:tcBorders>
            <w:shd w:val="clear" w:color="auto" w:fill="auto"/>
            <w:noWrap/>
            <w:vAlign w:val="center"/>
          </w:tcPr>
          <w:p w14:paraId="17C5F44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432</w:t>
            </w:r>
          </w:p>
        </w:tc>
        <w:tc>
          <w:tcPr>
            <w:tcW w:w="366" w:type="pct"/>
            <w:tcBorders>
              <w:top w:val="nil"/>
              <w:left w:val="nil"/>
              <w:bottom w:val="nil"/>
              <w:right w:val="nil"/>
            </w:tcBorders>
            <w:shd w:val="clear" w:color="auto" w:fill="auto"/>
            <w:noWrap/>
            <w:vAlign w:val="center"/>
          </w:tcPr>
          <w:p w14:paraId="1D05A02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652</w:t>
            </w:r>
          </w:p>
        </w:tc>
      </w:tr>
      <w:tr w14:paraId="74753ACB">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78D477C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0A04060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57671FD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2A3C6B6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2</w:t>
            </w: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98</w:t>
            </w:r>
          </w:p>
        </w:tc>
        <w:tc>
          <w:tcPr>
            <w:tcW w:w="765" w:type="pct"/>
            <w:tcBorders>
              <w:top w:val="nil"/>
              <w:left w:val="nil"/>
              <w:bottom w:val="nil"/>
              <w:right w:val="nil"/>
            </w:tcBorders>
            <w:shd w:val="clear" w:color="auto" w:fill="auto"/>
            <w:noWrap/>
            <w:vAlign w:val="top"/>
          </w:tcPr>
          <w:p w14:paraId="32E99BB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89</w:t>
            </w:r>
          </w:p>
        </w:tc>
        <w:tc>
          <w:tcPr>
            <w:tcW w:w="765" w:type="pct"/>
            <w:tcBorders>
              <w:top w:val="nil"/>
              <w:left w:val="nil"/>
              <w:bottom w:val="nil"/>
              <w:right w:val="nil"/>
            </w:tcBorders>
            <w:shd w:val="clear" w:color="auto" w:fill="auto"/>
            <w:noWrap/>
            <w:vAlign w:val="top"/>
          </w:tcPr>
          <w:p w14:paraId="5C75BD1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68</w:t>
            </w:r>
          </w:p>
        </w:tc>
        <w:tc>
          <w:tcPr>
            <w:tcW w:w="366" w:type="pct"/>
            <w:tcBorders>
              <w:top w:val="nil"/>
              <w:left w:val="nil"/>
              <w:bottom w:val="nil"/>
              <w:right w:val="nil"/>
            </w:tcBorders>
            <w:shd w:val="clear" w:color="auto" w:fill="auto"/>
            <w:noWrap/>
            <w:vAlign w:val="center"/>
          </w:tcPr>
          <w:p w14:paraId="63BEE5F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5.</w:t>
            </w:r>
            <w:r>
              <w:rPr>
                <w:rFonts w:hint="eastAsia" w:ascii="Times New Roman" w:hAnsi="Times New Roman" w:eastAsia="宋体"/>
                <w:color w:val="auto"/>
                <w:kern w:val="2"/>
                <w:sz w:val="21"/>
                <w:szCs w:val="24"/>
                <w:lang w:bidi="ar"/>
              </w:rPr>
              <w:t>83</w:t>
            </w:r>
            <w:r>
              <w:rPr>
                <w:rFonts w:hint="eastAsia" w:ascii="Times New Roman" w:hAnsi="Times New Roman" w:eastAsia="宋体"/>
                <w:color w:val="auto"/>
                <w:kern w:val="2"/>
                <w:sz w:val="21"/>
                <w:szCs w:val="24"/>
                <w:lang w:val="en-US" w:eastAsia="zh-CN" w:bidi="ar"/>
              </w:rPr>
              <w:t>0</w:t>
            </w:r>
          </w:p>
        </w:tc>
        <w:tc>
          <w:tcPr>
            <w:tcW w:w="366" w:type="pct"/>
            <w:tcBorders>
              <w:top w:val="nil"/>
              <w:left w:val="nil"/>
              <w:bottom w:val="nil"/>
              <w:right w:val="nil"/>
            </w:tcBorders>
            <w:shd w:val="clear" w:color="auto" w:fill="auto"/>
            <w:noWrap/>
            <w:vAlign w:val="center"/>
          </w:tcPr>
          <w:p w14:paraId="44E9C26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009</w:t>
            </w:r>
          </w:p>
        </w:tc>
      </w:tr>
      <w:tr w14:paraId="3A845A5B">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0B5259F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715168D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5B30B8D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73089F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2</w:t>
            </w: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lang w:val="en-US" w:eastAsia="zh-CN"/>
              </w:rPr>
              <w:t>20</w:t>
            </w:r>
          </w:p>
        </w:tc>
        <w:tc>
          <w:tcPr>
            <w:tcW w:w="765" w:type="pct"/>
            <w:tcBorders>
              <w:top w:val="nil"/>
              <w:left w:val="nil"/>
              <w:bottom w:val="nil"/>
              <w:right w:val="nil"/>
            </w:tcBorders>
            <w:shd w:val="clear" w:color="auto" w:fill="auto"/>
            <w:noWrap/>
            <w:vAlign w:val="top"/>
          </w:tcPr>
          <w:p w14:paraId="2B3C6C7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lang w:val="en-US" w:eastAsia="zh-CN"/>
              </w:rPr>
              <w:t>10</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1</w:t>
            </w:r>
          </w:p>
        </w:tc>
        <w:tc>
          <w:tcPr>
            <w:tcW w:w="765" w:type="pct"/>
            <w:tcBorders>
              <w:top w:val="nil"/>
              <w:left w:val="nil"/>
              <w:bottom w:val="nil"/>
              <w:right w:val="nil"/>
            </w:tcBorders>
            <w:shd w:val="clear" w:color="auto" w:fill="auto"/>
            <w:noWrap/>
            <w:vAlign w:val="top"/>
          </w:tcPr>
          <w:p w14:paraId="47647B3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2</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58</w:t>
            </w:r>
          </w:p>
        </w:tc>
        <w:tc>
          <w:tcPr>
            <w:tcW w:w="366" w:type="pct"/>
            <w:tcBorders>
              <w:top w:val="nil"/>
              <w:left w:val="nil"/>
              <w:bottom w:val="nil"/>
              <w:right w:val="nil"/>
            </w:tcBorders>
            <w:shd w:val="clear" w:color="auto" w:fill="auto"/>
            <w:noWrap/>
            <w:vAlign w:val="center"/>
          </w:tcPr>
          <w:p w14:paraId="6E4F801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2.</w:t>
            </w:r>
            <w:r>
              <w:rPr>
                <w:rFonts w:hint="eastAsia" w:ascii="Times New Roman" w:hAnsi="Times New Roman" w:eastAsia="宋体"/>
                <w:color w:val="auto"/>
                <w:kern w:val="2"/>
                <w:sz w:val="21"/>
                <w:szCs w:val="24"/>
                <w:lang w:bidi="ar"/>
              </w:rPr>
              <w:t>073</w:t>
            </w:r>
          </w:p>
        </w:tc>
        <w:tc>
          <w:tcPr>
            <w:tcW w:w="366" w:type="pct"/>
            <w:tcBorders>
              <w:top w:val="nil"/>
              <w:left w:val="nil"/>
              <w:bottom w:val="nil"/>
              <w:right w:val="nil"/>
            </w:tcBorders>
            <w:shd w:val="clear" w:color="auto" w:fill="auto"/>
            <w:noWrap/>
            <w:vAlign w:val="center"/>
          </w:tcPr>
          <w:p w14:paraId="5746902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15</w:t>
            </w:r>
            <w:r>
              <w:rPr>
                <w:rFonts w:hint="eastAsia" w:ascii="Times New Roman" w:hAnsi="Times New Roman" w:eastAsia="宋体"/>
                <w:color w:val="auto"/>
                <w:kern w:val="2"/>
                <w:sz w:val="21"/>
                <w:szCs w:val="24"/>
                <w:lang w:val="en-US" w:eastAsia="zh-CN" w:bidi="ar"/>
              </w:rPr>
              <w:t>0</w:t>
            </w:r>
          </w:p>
        </w:tc>
      </w:tr>
      <w:tr w14:paraId="66BC17A8">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00A765E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30FCD5F6">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6EA91B0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687FC18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43</w:t>
            </w:r>
          </w:p>
        </w:tc>
        <w:tc>
          <w:tcPr>
            <w:tcW w:w="765" w:type="pct"/>
            <w:tcBorders>
              <w:top w:val="nil"/>
              <w:left w:val="nil"/>
              <w:bottom w:val="nil"/>
              <w:right w:val="nil"/>
            </w:tcBorders>
            <w:shd w:val="clear" w:color="auto" w:fill="auto"/>
            <w:noWrap/>
            <w:vAlign w:val="top"/>
          </w:tcPr>
          <w:p w14:paraId="26A0F27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1</w:t>
            </w:r>
          </w:p>
        </w:tc>
        <w:tc>
          <w:tcPr>
            <w:tcW w:w="765" w:type="pct"/>
            <w:tcBorders>
              <w:top w:val="nil"/>
              <w:left w:val="nil"/>
              <w:bottom w:val="nil"/>
              <w:right w:val="nil"/>
            </w:tcBorders>
            <w:shd w:val="clear" w:color="auto" w:fill="auto"/>
            <w:noWrap/>
            <w:vAlign w:val="top"/>
          </w:tcPr>
          <w:p w14:paraId="60F983C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01±</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4</w:t>
            </w:r>
          </w:p>
        </w:tc>
        <w:tc>
          <w:tcPr>
            <w:tcW w:w="366" w:type="pct"/>
            <w:tcBorders>
              <w:top w:val="nil"/>
              <w:left w:val="nil"/>
              <w:bottom w:val="nil"/>
              <w:right w:val="nil"/>
            </w:tcBorders>
            <w:shd w:val="clear" w:color="auto" w:fill="auto"/>
            <w:noWrap/>
            <w:vAlign w:val="center"/>
          </w:tcPr>
          <w:p w14:paraId="54DCBE5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257</w:t>
            </w:r>
          </w:p>
        </w:tc>
        <w:tc>
          <w:tcPr>
            <w:tcW w:w="366" w:type="pct"/>
            <w:tcBorders>
              <w:top w:val="nil"/>
              <w:left w:val="nil"/>
              <w:bottom w:val="nil"/>
              <w:right w:val="nil"/>
            </w:tcBorders>
            <w:shd w:val="clear" w:color="auto" w:fill="auto"/>
            <w:noWrap/>
            <w:vAlign w:val="center"/>
          </w:tcPr>
          <w:p w14:paraId="34C35BB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655</w:t>
            </w:r>
          </w:p>
        </w:tc>
      </w:tr>
      <w:tr w14:paraId="01BCBABE">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257761D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6FF1990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22894BA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082948D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77±</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56</w:t>
            </w:r>
          </w:p>
        </w:tc>
        <w:tc>
          <w:tcPr>
            <w:tcW w:w="765" w:type="pct"/>
            <w:tcBorders>
              <w:top w:val="nil"/>
              <w:left w:val="nil"/>
              <w:bottom w:val="nil"/>
              <w:right w:val="nil"/>
            </w:tcBorders>
            <w:shd w:val="clear" w:color="auto" w:fill="auto"/>
            <w:noWrap/>
            <w:vAlign w:val="top"/>
          </w:tcPr>
          <w:p w14:paraId="2BFF921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20±</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70</w:t>
            </w:r>
          </w:p>
        </w:tc>
        <w:tc>
          <w:tcPr>
            <w:tcW w:w="765" w:type="pct"/>
            <w:tcBorders>
              <w:top w:val="nil"/>
              <w:left w:val="nil"/>
              <w:bottom w:val="nil"/>
              <w:right w:val="nil"/>
            </w:tcBorders>
            <w:shd w:val="clear" w:color="auto" w:fill="auto"/>
            <w:noWrap/>
            <w:vAlign w:val="top"/>
          </w:tcPr>
          <w:p w14:paraId="0C0D8E0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68</w:t>
            </w:r>
          </w:p>
        </w:tc>
        <w:tc>
          <w:tcPr>
            <w:tcW w:w="366" w:type="pct"/>
            <w:tcBorders>
              <w:top w:val="nil"/>
              <w:left w:val="nil"/>
              <w:bottom w:val="nil"/>
              <w:right w:val="nil"/>
            </w:tcBorders>
            <w:shd w:val="clear" w:color="auto" w:fill="auto"/>
            <w:noWrap/>
            <w:vAlign w:val="center"/>
          </w:tcPr>
          <w:p w14:paraId="51BCE0D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1.</w:t>
            </w:r>
            <w:r>
              <w:rPr>
                <w:rFonts w:hint="eastAsia" w:ascii="Times New Roman" w:hAnsi="Times New Roman" w:eastAsia="宋体"/>
                <w:color w:val="auto"/>
                <w:kern w:val="2"/>
                <w:sz w:val="21"/>
                <w:szCs w:val="24"/>
                <w:lang w:bidi="ar"/>
              </w:rPr>
              <w:t>351</w:t>
            </w:r>
          </w:p>
        </w:tc>
        <w:tc>
          <w:tcPr>
            <w:tcW w:w="366" w:type="pct"/>
            <w:tcBorders>
              <w:top w:val="nil"/>
              <w:left w:val="nil"/>
              <w:bottom w:val="nil"/>
              <w:right w:val="nil"/>
            </w:tcBorders>
            <w:shd w:val="clear" w:color="auto" w:fill="auto"/>
            <w:noWrap/>
            <w:vAlign w:val="center"/>
          </w:tcPr>
          <w:p w14:paraId="0589D36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278</w:t>
            </w:r>
          </w:p>
        </w:tc>
      </w:tr>
      <w:tr w14:paraId="5CF62880">
        <w:tblPrEx>
          <w:tblCellMar>
            <w:top w:w="0" w:type="dxa"/>
            <w:left w:w="108" w:type="dxa"/>
            <w:bottom w:w="0" w:type="dxa"/>
            <w:right w:w="108" w:type="dxa"/>
          </w:tblCellMar>
        </w:tblPrEx>
        <w:trPr>
          <w:trHeight w:val="270" w:hRule="atLeast"/>
          <w:jc w:val="center"/>
        </w:trPr>
        <w:tc>
          <w:tcPr>
            <w:tcW w:w="565" w:type="pct"/>
            <w:vMerge w:val="restart"/>
            <w:tcBorders>
              <w:top w:val="nil"/>
              <w:left w:val="nil"/>
              <w:bottom w:val="nil"/>
              <w:right w:val="nil"/>
            </w:tcBorders>
            <w:shd w:val="clear" w:color="auto" w:fill="auto"/>
            <w:noWrap/>
            <w:vAlign w:val="center"/>
          </w:tcPr>
          <w:p w14:paraId="6CEC3004">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p>
        </w:tc>
        <w:tc>
          <w:tcPr>
            <w:tcW w:w="765" w:type="pct"/>
            <w:vMerge w:val="restart"/>
            <w:tcBorders>
              <w:top w:val="nil"/>
              <w:left w:val="nil"/>
              <w:bottom w:val="nil"/>
              <w:right w:val="nil"/>
            </w:tcBorders>
            <w:shd w:val="clear" w:color="auto" w:fill="auto"/>
            <w:noWrap/>
            <w:vAlign w:val="center"/>
          </w:tcPr>
          <w:p w14:paraId="3BFB02D6">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27A8AF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0D6085B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25±</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36</w:t>
            </w:r>
          </w:p>
        </w:tc>
        <w:tc>
          <w:tcPr>
            <w:tcW w:w="765" w:type="pct"/>
            <w:tcBorders>
              <w:top w:val="nil"/>
              <w:left w:val="nil"/>
              <w:bottom w:val="nil"/>
              <w:right w:val="nil"/>
            </w:tcBorders>
            <w:shd w:val="clear" w:color="auto" w:fill="auto"/>
            <w:noWrap/>
            <w:vAlign w:val="top"/>
          </w:tcPr>
          <w:p w14:paraId="06FD3A47">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3</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42</w:t>
            </w:r>
          </w:p>
        </w:tc>
        <w:tc>
          <w:tcPr>
            <w:tcW w:w="765" w:type="pct"/>
            <w:tcBorders>
              <w:top w:val="nil"/>
              <w:left w:val="nil"/>
              <w:bottom w:val="nil"/>
              <w:right w:val="nil"/>
            </w:tcBorders>
            <w:shd w:val="clear" w:color="auto" w:fill="auto"/>
            <w:noWrap/>
            <w:vAlign w:val="top"/>
          </w:tcPr>
          <w:p w14:paraId="23172B9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40</w:t>
            </w:r>
          </w:p>
        </w:tc>
        <w:tc>
          <w:tcPr>
            <w:tcW w:w="366" w:type="pct"/>
            <w:tcBorders>
              <w:top w:val="nil"/>
              <w:left w:val="nil"/>
              <w:bottom w:val="nil"/>
              <w:right w:val="nil"/>
            </w:tcBorders>
            <w:shd w:val="clear" w:color="auto" w:fill="auto"/>
            <w:noWrap/>
            <w:vAlign w:val="center"/>
          </w:tcPr>
          <w:p w14:paraId="4C8D3CC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4.</w:t>
            </w:r>
            <w:r>
              <w:rPr>
                <w:rFonts w:hint="eastAsia" w:ascii="Times New Roman" w:hAnsi="Times New Roman" w:eastAsia="宋体" w:cs="Times New Roman"/>
                <w:color w:val="auto"/>
                <w:kern w:val="2"/>
                <w:sz w:val="21"/>
                <w:szCs w:val="24"/>
                <w:lang w:bidi="ar"/>
              </w:rPr>
              <w:t>374</w:t>
            </w:r>
          </w:p>
        </w:tc>
        <w:tc>
          <w:tcPr>
            <w:tcW w:w="366" w:type="pct"/>
            <w:tcBorders>
              <w:top w:val="nil"/>
              <w:left w:val="nil"/>
              <w:bottom w:val="nil"/>
              <w:right w:val="nil"/>
            </w:tcBorders>
            <w:shd w:val="clear" w:color="auto" w:fill="auto"/>
            <w:noWrap/>
            <w:vAlign w:val="center"/>
          </w:tcPr>
          <w:p w14:paraId="559ABB3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018</w:t>
            </w:r>
          </w:p>
        </w:tc>
      </w:tr>
      <w:tr w14:paraId="61F7A839">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56841C7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2544153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3FED943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185C3AF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lang w:val="en-US" w:eastAsia="zh-CN"/>
              </w:rPr>
              <w:t>90</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4</w:t>
            </w:r>
          </w:p>
        </w:tc>
        <w:tc>
          <w:tcPr>
            <w:tcW w:w="765" w:type="pct"/>
            <w:tcBorders>
              <w:top w:val="nil"/>
              <w:left w:val="nil"/>
              <w:bottom w:val="nil"/>
              <w:right w:val="nil"/>
            </w:tcBorders>
            <w:shd w:val="clear" w:color="auto" w:fill="auto"/>
            <w:noWrap/>
            <w:vAlign w:val="top"/>
          </w:tcPr>
          <w:p w14:paraId="743D7FE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val="en-US" w:eastAsia="zh-CN"/>
              </w:rPr>
              <w:t>5.00</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9</w:t>
            </w:r>
          </w:p>
        </w:tc>
        <w:tc>
          <w:tcPr>
            <w:tcW w:w="765" w:type="pct"/>
            <w:tcBorders>
              <w:top w:val="nil"/>
              <w:left w:val="nil"/>
              <w:bottom w:val="nil"/>
              <w:right w:val="nil"/>
            </w:tcBorders>
            <w:shd w:val="clear" w:color="auto" w:fill="auto"/>
            <w:noWrap/>
            <w:vAlign w:val="top"/>
          </w:tcPr>
          <w:p w14:paraId="6DF0B1E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35±</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val="en-US" w:eastAsia="zh-CN"/>
              </w:rPr>
              <w:t>8</w:t>
            </w:r>
          </w:p>
        </w:tc>
        <w:tc>
          <w:tcPr>
            <w:tcW w:w="366" w:type="pct"/>
            <w:tcBorders>
              <w:top w:val="nil"/>
              <w:left w:val="nil"/>
              <w:bottom w:val="nil"/>
              <w:right w:val="nil"/>
            </w:tcBorders>
            <w:shd w:val="clear" w:color="auto" w:fill="auto"/>
            <w:noWrap/>
            <w:vAlign w:val="center"/>
          </w:tcPr>
          <w:p w14:paraId="5F6C19C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2.</w:t>
            </w:r>
            <w:r>
              <w:rPr>
                <w:rFonts w:hint="eastAsia" w:ascii="Times New Roman" w:hAnsi="Times New Roman" w:eastAsia="宋体" w:cs="Times New Roman"/>
                <w:color w:val="auto"/>
                <w:kern w:val="2"/>
                <w:sz w:val="21"/>
                <w:szCs w:val="24"/>
                <w:lang w:bidi="ar"/>
              </w:rPr>
              <w:t>07</w:t>
            </w:r>
            <w:r>
              <w:rPr>
                <w:rFonts w:hint="eastAsia" w:ascii="Times New Roman" w:hAnsi="Times New Roman" w:eastAsia="宋体" w:cs="Times New Roman"/>
                <w:color w:val="auto"/>
                <w:kern w:val="2"/>
                <w:sz w:val="21"/>
                <w:szCs w:val="24"/>
                <w:lang w:val="en-US" w:eastAsia="zh-CN" w:bidi="ar"/>
              </w:rPr>
              <w:t>0</w:t>
            </w:r>
          </w:p>
        </w:tc>
        <w:tc>
          <w:tcPr>
            <w:tcW w:w="366" w:type="pct"/>
            <w:tcBorders>
              <w:top w:val="nil"/>
              <w:left w:val="nil"/>
              <w:bottom w:val="nil"/>
              <w:right w:val="nil"/>
            </w:tcBorders>
            <w:shd w:val="clear" w:color="auto" w:fill="auto"/>
            <w:noWrap/>
            <w:vAlign w:val="center"/>
          </w:tcPr>
          <w:p w14:paraId="62C5D20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138</w:t>
            </w:r>
          </w:p>
        </w:tc>
      </w:tr>
      <w:tr w14:paraId="6026BCBD">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11F4CA2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76FB9F91">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2E256B5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6C94F25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52</w:t>
            </w:r>
          </w:p>
        </w:tc>
        <w:tc>
          <w:tcPr>
            <w:tcW w:w="765" w:type="pct"/>
            <w:tcBorders>
              <w:top w:val="nil"/>
              <w:left w:val="nil"/>
              <w:bottom w:val="nil"/>
              <w:right w:val="nil"/>
            </w:tcBorders>
            <w:shd w:val="clear" w:color="auto" w:fill="auto"/>
            <w:noWrap/>
            <w:vAlign w:val="top"/>
          </w:tcPr>
          <w:p w14:paraId="2512171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2</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1</w:t>
            </w:r>
          </w:p>
        </w:tc>
        <w:tc>
          <w:tcPr>
            <w:tcW w:w="765" w:type="pct"/>
            <w:tcBorders>
              <w:top w:val="nil"/>
              <w:left w:val="nil"/>
              <w:bottom w:val="nil"/>
              <w:right w:val="nil"/>
            </w:tcBorders>
            <w:shd w:val="clear" w:color="auto" w:fill="auto"/>
            <w:noWrap/>
            <w:vAlign w:val="top"/>
          </w:tcPr>
          <w:p w14:paraId="5053003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16±</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4</w:t>
            </w:r>
          </w:p>
        </w:tc>
        <w:tc>
          <w:tcPr>
            <w:tcW w:w="366" w:type="pct"/>
            <w:tcBorders>
              <w:top w:val="nil"/>
              <w:left w:val="nil"/>
              <w:bottom w:val="nil"/>
              <w:right w:val="nil"/>
            </w:tcBorders>
            <w:shd w:val="clear" w:color="auto" w:fill="auto"/>
            <w:noWrap/>
            <w:vAlign w:val="center"/>
          </w:tcPr>
          <w:p w14:paraId="13AD6FD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1.</w:t>
            </w:r>
            <w:r>
              <w:rPr>
                <w:rFonts w:hint="eastAsia" w:ascii="Times New Roman" w:hAnsi="Times New Roman" w:eastAsia="宋体"/>
                <w:color w:val="auto"/>
                <w:kern w:val="2"/>
                <w:sz w:val="21"/>
                <w:szCs w:val="24"/>
                <w:lang w:bidi="ar"/>
              </w:rPr>
              <w:t>813</w:t>
            </w:r>
          </w:p>
        </w:tc>
        <w:tc>
          <w:tcPr>
            <w:tcW w:w="366" w:type="pct"/>
            <w:tcBorders>
              <w:top w:val="nil"/>
              <w:left w:val="nil"/>
              <w:bottom w:val="nil"/>
              <w:right w:val="nil"/>
            </w:tcBorders>
            <w:shd w:val="clear" w:color="auto" w:fill="auto"/>
            <w:noWrap/>
            <w:vAlign w:val="center"/>
          </w:tcPr>
          <w:p w14:paraId="3E9D11F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187</w:t>
            </w:r>
          </w:p>
        </w:tc>
      </w:tr>
      <w:tr w14:paraId="701A943B">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273894AE">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40AC9A6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38ACF87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5EC43E1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51±</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3</w:t>
            </w:r>
          </w:p>
        </w:tc>
        <w:tc>
          <w:tcPr>
            <w:tcW w:w="765" w:type="pct"/>
            <w:tcBorders>
              <w:top w:val="nil"/>
              <w:left w:val="nil"/>
              <w:bottom w:val="nil"/>
              <w:right w:val="nil"/>
            </w:tcBorders>
            <w:shd w:val="clear" w:color="auto" w:fill="auto"/>
            <w:noWrap/>
            <w:vAlign w:val="top"/>
          </w:tcPr>
          <w:p w14:paraId="76EF03D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38±</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70</w:t>
            </w:r>
          </w:p>
        </w:tc>
        <w:tc>
          <w:tcPr>
            <w:tcW w:w="765" w:type="pct"/>
            <w:tcBorders>
              <w:top w:val="nil"/>
              <w:left w:val="nil"/>
              <w:bottom w:val="nil"/>
              <w:right w:val="nil"/>
            </w:tcBorders>
            <w:shd w:val="clear" w:color="auto" w:fill="auto"/>
            <w:noWrap/>
            <w:vAlign w:val="top"/>
          </w:tcPr>
          <w:p w14:paraId="71D133D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rPr>
              <w:t>67±</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5</w:t>
            </w:r>
          </w:p>
        </w:tc>
        <w:tc>
          <w:tcPr>
            <w:tcW w:w="366" w:type="pct"/>
            <w:tcBorders>
              <w:top w:val="nil"/>
              <w:left w:val="nil"/>
              <w:bottom w:val="nil"/>
              <w:right w:val="nil"/>
            </w:tcBorders>
            <w:shd w:val="clear" w:color="auto" w:fill="auto"/>
            <w:noWrap/>
            <w:vAlign w:val="center"/>
          </w:tcPr>
          <w:p w14:paraId="6271AB5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1.</w:t>
            </w:r>
            <w:r>
              <w:rPr>
                <w:rFonts w:hint="eastAsia" w:ascii="Times New Roman" w:hAnsi="Times New Roman" w:eastAsia="宋体"/>
                <w:color w:val="auto"/>
                <w:kern w:val="2"/>
                <w:sz w:val="21"/>
                <w:szCs w:val="24"/>
                <w:lang w:bidi="ar"/>
              </w:rPr>
              <w:t>666</w:t>
            </w:r>
          </w:p>
        </w:tc>
        <w:tc>
          <w:tcPr>
            <w:tcW w:w="366" w:type="pct"/>
            <w:tcBorders>
              <w:top w:val="nil"/>
              <w:left w:val="nil"/>
              <w:bottom w:val="nil"/>
              <w:right w:val="nil"/>
            </w:tcBorders>
            <w:shd w:val="clear" w:color="auto" w:fill="auto"/>
            <w:noWrap/>
            <w:vAlign w:val="center"/>
          </w:tcPr>
          <w:p w14:paraId="2D0FB22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212</w:t>
            </w:r>
          </w:p>
        </w:tc>
      </w:tr>
      <w:tr w14:paraId="55F33670">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489A083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58392B19">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24373C1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60A232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69±</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48</w:t>
            </w:r>
          </w:p>
        </w:tc>
        <w:tc>
          <w:tcPr>
            <w:tcW w:w="765" w:type="pct"/>
            <w:tcBorders>
              <w:top w:val="nil"/>
              <w:left w:val="nil"/>
              <w:bottom w:val="nil"/>
              <w:right w:val="nil"/>
            </w:tcBorders>
            <w:shd w:val="clear" w:color="auto" w:fill="auto"/>
            <w:noWrap/>
            <w:vAlign w:val="top"/>
          </w:tcPr>
          <w:p w14:paraId="0F273EA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01±</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9</w:t>
            </w:r>
          </w:p>
        </w:tc>
        <w:tc>
          <w:tcPr>
            <w:tcW w:w="765" w:type="pct"/>
            <w:tcBorders>
              <w:top w:val="nil"/>
              <w:left w:val="nil"/>
              <w:bottom w:val="nil"/>
              <w:right w:val="nil"/>
            </w:tcBorders>
            <w:shd w:val="clear" w:color="auto" w:fill="auto"/>
            <w:noWrap/>
            <w:vAlign w:val="top"/>
          </w:tcPr>
          <w:p w14:paraId="249BF70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val="en-US" w:eastAsia="zh-CN"/>
              </w:rPr>
              <w:t>4</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51</w:t>
            </w:r>
          </w:p>
        </w:tc>
        <w:tc>
          <w:tcPr>
            <w:tcW w:w="366" w:type="pct"/>
            <w:tcBorders>
              <w:top w:val="nil"/>
              <w:left w:val="nil"/>
              <w:bottom w:val="nil"/>
              <w:right w:val="nil"/>
            </w:tcBorders>
            <w:shd w:val="clear" w:color="auto" w:fill="auto"/>
            <w:noWrap/>
            <w:vAlign w:val="center"/>
          </w:tcPr>
          <w:p w14:paraId="6089318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3.</w:t>
            </w:r>
            <w:r>
              <w:rPr>
                <w:rFonts w:hint="eastAsia" w:ascii="Times New Roman" w:hAnsi="Times New Roman" w:eastAsia="宋体"/>
                <w:color w:val="auto"/>
                <w:kern w:val="2"/>
                <w:sz w:val="21"/>
                <w:szCs w:val="24"/>
                <w:lang w:bidi="ar"/>
              </w:rPr>
              <w:t>5</w:t>
            </w:r>
            <w:r>
              <w:rPr>
                <w:rFonts w:hint="eastAsia" w:ascii="Times New Roman" w:hAnsi="Times New Roman" w:eastAsia="宋体"/>
                <w:color w:val="auto"/>
                <w:kern w:val="2"/>
                <w:sz w:val="21"/>
                <w:szCs w:val="24"/>
                <w:lang w:val="en-US" w:eastAsia="zh-CN" w:bidi="ar"/>
              </w:rPr>
              <w:t>00</w:t>
            </w:r>
          </w:p>
        </w:tc>
        <w:tc>
          <w:tcPr>
            <w:tcW w:w="366" w:type="pct"/>
            <w:tcBorders>
              <w:top w:val="nil"/>
              <w:left w:val="nil"/>
              <w:bottom w:val="nil"/>
              <w:right w:val="nil"/>
            </w:tcBorders>
            <w:shd w:val="clear" w:color="auto" w:fill="auto"/>
            <w:noWrap/>
            <w:vAlign w:val="center"/>
          </w:tcPr>
          <w:p w14:paraId="59D17AF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046</w:t>
            </w:r>
          </w:p>
        </w:tc>
      </w:tr>
      <w:tr w14:paraId="07848BCF">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74596EC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25FC809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62DE240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F1A08F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2</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60</w:t>
            </w:r>
          </w:p>
        </w:tc>
        <w:tc>
          <w:tcPr>
            <w:tcW w:w="765" w:type="pct"/>
            <w:tcBorders>
              <w:top w:val="nil"/>
              <w:left w:val="nil"/>
              <w:bottom w:val="nil"/>
              <w:right w:val="nil"/>
            </w:tcBorders>
            <w:shd w:val="clear" w:color="auto" w:fill="auto"/>
            <w:noWrap/>
            <w:vAlign w:val="top"/>
          </w:tcPr>
          <w:p w14:paraId="45A1211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2</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8</w:t>
            </w:r>
          </w:p>
        </w:tc>
        <w:tc>
          <w:tcPr>
            <w:tcW w:w="765" w:type="pct"/>
            <w:tcBorders>
              <w:top w:val="nil"/>
              <w:left w:val="nil"/>
              <w:bottom w:val="nil"/>
              <w:right w:val="nil"/>
            </w:tcBorders>
            <w:shd w:val="clear" w:color="auto" w:fill="auto"/>
            <w:noWrap/>
            <w:vAlign w:val="top"/>
          </w:tcPr>
          <w:p w14:paraId="0ABA720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03±</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52</w:t>
            </w:r>
          </w:p>
        </w:tc>
        <w:tc>
          <w:tcPr>
            <w:tcW w:w="366" w:type="pct"/>
            <w:tcBorders>
              <w:top w:val="nil"/>
              <w:left w:val="nil"/>
              <w:bottom w:val="nil"/>
              <w:right w:val="nil"/>
            </w:tcBorders>
            <w:shd w:val="clear" w:color="auto" w:fill="auto"/>
            <w:noWrap/>
            <w:vAlign w:val="center"/>
          </w:tcPr>
          <w:p w14:paraId="21BF3AF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785</w:t>
            </w:r>
          </w:p>
        </w:tc>
        <w:tc>
          <w:tcPr>
            <w:tcW w:w="366" w:type="pct"/>
            <w:tcBorders>
              <w:top w:val="nil"/>
              <w:left w:val="nil"/>
              <w:bottom w:val="nil"/>
              <w:right w:val="nil"/>
            </w:tcBorders>
            <w:shd w:val="clear" w:color="auto" w:fill="auto"/>
            <w:noWrap/>
            <w:vAlign w:val="center"/>
          </w:tcPr>
          <w:p w14:paraId="270613F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467</w:t>
            </w:r>
          </w:p>
        </w:tc>
      </w:tr>
      <w:tr w14:paraId="0C147C3F">
        <w:tblPrEx>
          <w:tblCellMar>
            <w:top w:w="0" w:type="dxa"/>
            <w:left w:w="108" w:type="dxa"/>
            <w:bottom w:w="0" w:type="dxa"/>
            <w:right w:w="108" w:type="dxa"/>
          </w:tblCellMar>
        </w:tblPrEx>
        <w:trPr>
          <w:trHeight w:val="655" w:hRule="atLeast"/>
          <w:jc w:val="center"/>
        </w:trPr>
        <w:tc>
          <w:tcPr>
            <w:tcW w:w="565" w:type="pct"/>
            <w:vMerge w:val="restart"/>
            <w:tcBorders>
              <w:top w:val="nil"/>
              <w:left w:val="nil"/>
              <w:bottom w:val="nil"/>
              <w:right w:val="nil"/>
            </w:tcBorders>
            <w:shd w:val="clear" w:color="auto" w:fill="auto"/>
            <w:noWrap/>
            <w:vAlign w:val="center"/>
          </w:tcPr>
          <w:p w14:paraId="6DC361A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p>
        </w:tc>
        <w:tc>
          <w:tcPr>
            <w:tcW w:w="765" w:type="pct"/>
            <w:vMerge w:val="restart"/>
            <w:tcBorders>
              <w:top w:val="nil"/>
              <w:left w:val="nil"/>
              <w:bottom w:val="nil"/>
              <w:right w:val="nil"/>
            </w:tcBorders>
            <w:shd w:val="clear" w:color="auto" w:fill="auto"/>
            <w:noWrap/>
            <w:vAlign w:val="center"/>
          </w:tcPr>
          <w:p w14:paraId="7B87142B">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081DAC3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56541F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86</w:t>
            </w:r>
          </w:p>
        </w:tc>
        <w:tc>
          <w:tcPr>
            <w:tcW w:w="765" w:type="pct"/>
            <w:tcBorders>
              <w:top w:val="nil"/>
              <w:left w:val="nil"/>
              <w:bottom w:val="nil"/>
              <w:right w:val="nil"/>
            </w:tcBorders>
            <w:shd w:val="clear" w:color="auto" w:fill="auto"/>
            <w:noWrap/>
            <w:vAlign w:val="top"/>
          </w:tcPr>
          <w:p w14:paraId="3DD5F0C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3</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8</w:t>
            </w:r>
          </w:p>
        </w:tc>
        <w:tc>
          <w:tcPr>
            <w:tcW w:w="765" w:type="pct"/>
            <w:tcBorders>
              <w:top w:val="nil"/>
              <w:left w:val="nil"/>
              <w:bottom w:val="nil"/>
              <w:right w:val="nil"/>
            </w:tcBorders>
            <w:shd w:val="clear" w:color="auto" w:fill="auto"/>
            <w:noWrap/>
            <w:vAlign w:val="top"/>
          </w:tcPr>
          <w:p w14:paraId="0ADA747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rPr>
            </w:pP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89</w:t>
            </w:r>
          </w:p>
          <w:p w14:paraId="7C15EED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val="en-US" w:eastAsia="zh-CN"/>
              </w:rPr>
            </w:pPr>
          </w:p>
        </w:tc>
        <w:tc>
          <w:tcPr>
            <w:tcW w:w="366" w:type="pct"/>
            <w:tcBorders>
              <w:top w:val="nil"/>
              <w:left w:val="nil"/>
              <w:bottom w:val="nil"/>
              <w:right w:val="nil"/>
            </w:tcBorders>
            <w:shd w:val="clear" w:color="auto" w:fill="auto"/>
            <w:noWrap/>
            <w:vAlign w:val="center"/>
          </w:tcPr>
          <w:p w14:paraId="42108F1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3.</w:t>
            </w:r>
            <w:r>
              <w:rPr>
                <w:rFonts w:hint="eastAsia" w:ascii="Times New Roman" w:hAnsi="Times New Roman" w:eastAsia="宋体" w:cs="Times New Roman"/>
                <w:color w:val="auto"/>
                <w:kern w:val="2"/>
                <w:sz w:val="21"/>
                <w:szCs w:val="24"/>
                <w:lang w:bidi="ar"/>
              </w:rPr>
              <w:t>306</w:t>
            </w:r>
          </w:p>
        </w:tc>
        <w:tc>
          <w:tcPr>
            <w:tcW w:w="366" w:type="pct"/>
            <w:tcBorders>
              <w:top w:val="nil"/>
              <w:left w:val="nil"/>
              <w:bottom w:val="nil"/>
              <w:right w:val="nil"/>
            </w:tcBorders>
            <w:shd w:val="clear" w:color="auto" w:fill="auto"/>
            <w:noWrap/>
            <w:vAlign w:val="center"/>
          </w:tcPr>
          <w:p w14:paraId="1037278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046</w:t>
            </w:r>
          </w:p>
        </w:tc>
      </w:tr>
      <w:tr w14:paraId="30CC69E6">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0AE872D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12896DD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3D4736C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00E600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13</w:t>
            </w:r>
          </w:p>
        </w:tc>
        <w:tc>
          <w:tcPr>
            <w:tcW w:w="765" w:type="pct"/>
            <w:tcBorders>
              <w:top w:val="nil"/>
              <w:left w:val="nil"/>
              <w:bottom w:val="nil"/>
              <w:right w:val="nil"/>
            </w:tcBorders>
            <w:shd w:val="clear" w:color="auto" w:fill="auto"/>
            <w:noWrap/>
            <w:vAlign w:val="top"/>
          </w:tcPr>
          <w:p w14:paraId="4B89081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98±</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11</w:t>
            </w:r>
          </w:p>
        </w:tc>
        <w:tc>
          <w:tcPr>
            <w:tcW w:w="765" w:type="pct"/>
            <w:tcBorders>
              <w:top w:val="nil"/>
              <w:left w:val="nil"/>
              <w:bottom w:val="nil"/>
              <w:right w:val="nil"/>
            </w:tcBorders>
            <w:shd w:val="clear" w:color="auto" w:fill="auto"/>
            <w:noWrap/>
            <w:vAlign w:val="top"/>
          </w:tcPr>
          <w:p w14:paraId="6FDB1FD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46±</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18</w:t>
            </w:r>
          </w:p>
        </w:tc>
        <w:tc>
          <w:tcPr>
            <w:tcW w:w="366" w:type="pct"/>
            <w:tcBorders>
              <w:top w:val="nil"/>
              <w:left w:val="nil"/>
              <w:bottom w:val="nil"/>
              <w:right w:val="nil"/>
            </w:tcBorders>
            <w:shd w:val="clear" w:color="auto" w:fill="auto"/>
            <w:noWrap/>
            <w:vAlign w:val="center"/>
          </w:tcPr>
          <w:p w14:paraId="1434E8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267</w:t>
            </w:r>
          </w:p>
        </w:tc>
        <w:tc>
          <w:tcPr>
            <w:tcW w:w="366" w:type="pct"/>
            <w:tcBorders>
              <w:top w:val="nil"/>
              <w:left w:val="nil"/>
              <w:bottom w:val="nil"/>
              <w:right w:val="nil"/>
            </w:tcBorders>
            <w:shd w:val="clear" w:color="auto" w:fill="auto"/>
            <w:noWrap/>
            <w:vAlign w:val="center"/>
          </w:tcPr>
          <w:p w14:paraId="7FD48F5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767</w:t>
            </w:r>
          </w:p>
        </w:tc>
      </w:tr>
      <w:tr w14:paraId="71189B63">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790E162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2C73E0E8">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7487F3E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1EA5CE8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12</w:t>
            </w:r>
            <w:r>
              <w:rPr>
                <w:rFonts w:hint="eastAsia" w:ascii="Times New Roman" w:hAnsi="Times New Roman" w:eastAsia="宋体"/>
                <w:color w:val="auto"/>
                <w:sz w:val="21"/>
                <w:szCs w:val="24"/>
                <w:lang w:val="en-US" w:eastAsia="zh-CN"/>
              </w:rPr>
              <w:t>3</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45</w:t>
            </w:r>
          </w:p>
        </w:tc>
        <w:tc>
          <w:tcPr>
            <w:tcW w:w="765" w:type="pct"/>
            <w:tcBorders>
              <w:top w:val="nil"/>
              <w:left w:val="nil"/>
              <w:bottom w:val="nil"/>
              <w:right w:val="nil"/>
            </w:tcBorders>
            <w:shd w:val="clear" w:color="auto" w:fill="auto"/>
            <w:noWrap/>
            <w:vAlign w:val="top"/>
          </w:tcPr>
          <w:p w14:paraId="02658E6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77±</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38</w:t>
            </w:r>
          </w:p>
        </w:tc>
        <w:tc>
          <w:tcPr>
            <w:tcW w:w="765" w:type="pct"/>
            <w:tcBorders>
              <w:top w:val="nil"/>
              <w:left w:val="nil"/>
              <w:bottom w:val="nil"/>
              <w:right w:val="nil"/>
            </w:tcBorders>
            <w:shd w:val="clear" w:color="auto" w:fill="auto"/>
            <w:noWrap/>
            <w:vAlign w:val="top"/>
          </w:tcPr>
          <w:p w14:paraId="463810D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rPr>
              <w:t>95±</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5</w:t>
            </w:r>
          </w:p>
        </w:tc>
        <w:tc>
          <w:tcPr>
            <w:tcW w:w="366" w:type="pct"/>
            <w:tcBorders>
              <w:top w:val="nil"/>
              <w:left w:val="nil"/>
              <w:bottom w:val="nil"/>
              <w:right w:val="nil"/>
            </w:tcBorders>
            <w:shd w:val="clear" w:color="auto" w:fill="auto"/>
            <w:noWrap/>
            <w:vAlign w:val="center"/>
          </w:tcPr>
          <w:p w14:paraId="3653099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3.</w:t>
            </w:r>
            <w:r>
              <w:rPr>
                <w:rFonts w:hint="eastAsia" w:ascii="Times New Roman" w:hAnsi="Times New Roman" w:eastAsia="宋体"/>
                <w:color w:val="auto"/>
                <w:kern w:val="2"/>
                <w:sz w:val="21"/>
                <w:szCs w:val="24"/>
                <w:lang w:bidi="ar"/>
              </w:rPr>
              <w:t>484</w:t>
            </w:r>
          </w:p>
        </w:tc>
        <w:tc>
          <w:tcPr>
            <w:tcW w:w="366" w:type="pct"/>
            <w:tcBorders>
              <w:top w:val="nil"/>
              <w:left w:val="nil"/>
              <w:bottom w:val="nil"/>
              <w:right w:val="nil"/>
            </w:tcBorders>
            <w:shd w:val="clear" w:color="auto" w:fill="auto"/>
            <w:noWrap/>
            <w:vAlign w:val="center"/>
          </w:tcPr>
          <w:p w14:paraId="3F6384E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048</w:t>
            </w:r>
          </w:p>
        </w:tc>
      </w:tr>
      <w:tr w14:paraId="22064E4A">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4539450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411AA76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36946C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712C3F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70±</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12</w:t>
            </w:r>
          </w:p>
        </w:tc>
        <w:tc>
          <w:tcPr>
            <w:tcW w:w="765" w:type="pct"/>
            <w:tcBorders>
              <w:top w:val="nil"/>
              <w:left w:val="nil"/>
              <w:bottom w:val="nil"/>
              <w:right w:val="nil"/>
            </w:tcBorders>
            <w:shd w:val="clear" w:color="auto" w:fill="auto"/>
            <w:noWrap/>
            <w:vAlign w:val="top"/>
          </w:tcPr>
          <w:p w14:paraId="5827E18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6</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8</w:t>
            </w:r>
          </w:p>
        </w:tc>
        <w:tc>
          <w:tcPr>
            <w:tcW w:w="765" w:type="pct"/>
            <w:tcBorders>
              <w:top w:val="nil"/>
              <w:left w:val="nil"/>
              <w:bottom w:val="nil"/>
              <w:right w:val="nil"/>
            </w:tcBorders>
            <w:shd w:val="clear" w:color="auto" w:fill="auto"/>
            <w:noWrap/>
            <w:vAlign w:val="top"/>
          </w:tcPr>
          <w:p w14:paraId="09F3658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25±</w:t>
            </w:r>
            <w:r>
              <w:rPr>
                <w:rFonts w:hint="eastAsia" w:ascii="Times New Roman" w:hAnsi="Times New Roman" w:eastAsia="宋体"/>
                <w:color w:val="auto"/>
                <w:sz w:val="21"/>
                <w:szCs w:val="24"/>
                <w:lang w:eastAsia="zh-CN"/>
              </w:rPr>
              <w:t>2.</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5</w:t>
            </w:r>
          </w:p>
        </w:tc>
        <w:tc>
          <w:tcPr>
            <w:tcW w:w="366" w:type="pct"/>
            <w:tcBorders>
              <w:top w:val="nil"/>
              <w:left w:val="nil"/>
              <w:bottom w:val="nil"/>
              <w:right w:val="nil"/>
            </w:tcBorders>
            <w:shd w:val="clear" w:color="auto" w:fill="auto"/>
            <w:noWrap/>
            <w:vAlign w:val="center"/>
          </w:tcPr>
          <w:p w14:paraId="1539F06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358</w:t>
            </w:r>
          </w:p>
        </w:tc>
        <w:tc>
          <w:tcPr>
            <w:tcW w:w="366" w:type="pct"/>
            <w:tcBorders>
              <w:top w:val="nil"/>
              <w:left w:val="nil"/>
              <w:bottom w:val="nil"/>
              <w:right w:val="nil"/>
            </w:tcBorders>
            <w:shd w:val="clear" w:color="auto" w:fill="auto"/>
            <w:noWrap/>
            <w:vAlign w:val="center"/>
          </w:tcPr>
          <w:p w14:paraId="6782940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703</w:t>
            </w:r>
          </w:p>
        </w:tc>
      </w:tr>
      <w:tr w14:paraId="021F67E9">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2F9DCB2D">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53883B9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2C63CDB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0BD739C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98</w:t>
            </w:r>
          </w:p>
        </w:tc>
        <w:tc>
          <w:tcPr>
            <w:tcW w:w="765" w:type="pct"/>
            <w:tcBorders>
              <w:top w:val="nil"/>
              <w:left w:val="nil"/>
              <w:bottom w:val="nil"/>
              <w:right w:val="nil"/>
            </w:tcBorders>
            <w:shd w:val="clear" w:color="auto" w:fill="auto"/>
            <w:noWrap/>
            <w:vAlign w:val="top"/>
          </w:tcPr>
          <w:p w14:paraId="2482351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28±</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11</w:t>
            </w:r>
          </w:p>
        </w:tc>
        <w:tc>
          <w:tcPr>
            <w:tcW w:w="765" w:type="pct"/>
            <w:tcBorders>
              <w:top w:val="nil"/>
              <w:left w:val="nil"/>
              <w:bottom w:val="nil"/>
              <w:right w:val="nil"/>
            </w:tcBorders>
            <w:shd w:val="clear" w:color="auto" w:fill="auto"/>
            <w:noWrap/>
            <w:vAlign w:val="top"/>
          </w:tcPr>
          <w:p w14:paraId="3916531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3.</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8</w:t>
            </w:r>
          </w:p>
        </w:tc>
        <w:tc>
          <w:tcPr>
            <w:tcW w:w="366" w:type="pct"/>
            <w:tcBorders>
              <w:top w:val="nil"/>
              <w:left w:val="nil"/>
              <w:bottom w:val="nil"/>
              <w:right w:val="nil"/>
            </w:tcBorders>
            <w:shd w:val="clear" w:color="auto" w:fill="auto"/>
            <w:noWrap/>
            <w:vAlign w:val="center"/>
          </w:tcPr>
          <w:p w14:paraId="11DBDD2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765</w:t>
            </w:r>
          </w:p>
        </w:tc>
        <w:tc>
          <w:tcPr>
            <w:tcW w:w="366" w:type="pct"/>
            <w:tcBorders>
              <w:top w:val="nil"/>
              <w:left w:val="nil"/>
              <w:bottom w:val="nil"/>
              <w:right w:val="nil"/>
            </w:tcBorders>
            <w:shd w:val="clear" w:color="auto" w:fill="auto"/>
            <w:noWrap/>
            <w:vAlign w:val="center"/>
          </w:tcPr>
          <w:p w14:paraId="496030D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477</w:t>
            </w:r>
          </w:p>
        </w:tc>
      </w:tr>
      <w:tr w14:paraId="19ACA5E2">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nil"/>
              <w:right w:val="nil"/>
            </w:tcBorders>
            <w:shd w:val="clear" w:color="auto" w:fill="auto"/>
            <w:noWrap/>
            <w:vAlign w:val="center"/>
          </w:tcPr>
          <w:p w14:paraId="328F782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4501AB4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6C14188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59FE088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95</w:t>
            </w:r>
          </w:p>
        </w:tc>
        <w:tc>
          <w:tcPr>
            <w:tcW w:w="765" w:type="pct"/>
            <w:tcBorders>
              <w:top w:val="nil"/>
              <w:left w:val="nil"/>
              <w:bottom w:val="nil"/>
              <w:right w:val="nil"/>
            </w:tcBorders>
            <w:shd w:val="clear" w:color="auto" w:fill="auto"/>
            <w:noWrap/>
            <w:vAlign w:val="top"/>
          </w:tcPr>
          <w:p w14:paraId="07EF652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5.</w:t>
            </w:r>
            <w:r>
              <w:rPr>
                <w:rFonts w:hint="eastAsia" w:ascii="Times New Roman" w:hAnsi="Times New Roman" w:eastAsia="宋体"/>
                <w:color w:val="auto"/>
                <w:sz w:val="21"/>
                <w:szCs w:val="24"/>
              </w:rPr>
              <w:t>11±</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8</w:t>
            </w:r>
          </w:p>
        </w:tc>
        <w:tc>
          <w:tcPr>
            <w:tcW w:w="765" w:type="pct"/>
            <w:tcBorders>
              <w:top w:val="nil"/>
              <w:left w:val="nil"/>
              <w:bottom w:val="nil"/>
              <w:right w:val="nil"/>
            </w:tcBorders>
            <w:shd w:val="clear" w:color="auto" w:fill="auto"/>
            <w:noWrap/>
            <w:vAlign w:val="top"/>
          </w:tcPr>
          <w:p w14:paraId="12A186A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rPr>
              <w:t>67±</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1</w:t>
            </w:r>
          </w:p>
        </w:tc>
        <w:tc>
          <w:tcPr>
            <w:tcW w:w="366" w:type="pct"/>
            <w:tcBorders>
              <w:top w:val="nil"/>
              <w:left w:val="nil"/>
              <w:bottom w:val="nil"/>
              <w:right w:val="nil"/>
            </w:tcBorders>
            <w:shd w:val="clear" w:color="auto" w:fill="auto"/>
            <w:noWrap/>
            <w:vAlign w:val="center"/>
          </w:tcPr>
          <w:p w14:paraId="6C39DC9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074</w:t>
            </w:r>
          </w:p>
        </w:tc>
        <w:tc>
          <w:tcPr>
            <w:tcW w:w="366" w:type="pct"/>
            <w:tcBorders>
              <w:top w:val="nil"/>
              <w:left w:val="nil"/>
              <w:bottom w:val="nil"/>
              <w:right w:val="nil"/>
            </w:tcBorders>
            <w:shd w:val="clear" w:color="auto" w:fill="auto"/>
            <w:noWrap/>
            <w:vAlign w:val="center"/>
          </w:tcPr>
          <w:p w14:paraId="139ACB0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825</w:t>
            </w:r>
          </w:p>
        </w:tc>
      </w:tr>
      <w:tr w14:paraId="6ECD6F1C">
        <w:tblPrEx>
          <w:tblCellMar>
            <w:top w:w="0" w:type="dxa"/>
            <w:left w:w="108" w:type="dxa"/>
            <w:bottom w:w="0" w:type="dxa"/>
            <w:right w:w="108" w:type="dxa"/>
          </w:tblCellMar>
        </w:tblPrEx>
        <w:trPr>
          <w:trHeight w:val="270" w:hRule="atLeast"/>
          <w:jc w:val="center"/>
        </w:trPr>
        <w:tc>
          <w:tcPr>
            <w:tcW w:w="565" w:type="pct"/>
            <w:vMerge w:val="restart"/>
            <w:tcBorders>
              <w:top w:val="nil"/>
              <w:left w:val="nil"/>
              <w:bottom w:val="single" w:color="000000" w:sz="8" w:space="0"/>
              <w:right w:val="nil"/>
            </w:tcBorders>
            <w:shd w:val="clear" w:color="auto" w:fill="auto"/>
            <w:noWrap/>
            <w:vAlign w:val="center"/>
          </w:tcPr>
          <w:p w14:paraId="4B103FFA">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ROM</w:t>
            </w:r>
          </w:p>
        </w:tc>
        <w:tc>
          <w:tcPr>
            <w:tcW w:w="765" w:type="pct"/>
            <w:vMerge w:val="restart"/>
            <w:tcBorders>
              <w:top w:val="nil"/>
              <w:left w:val="nil"/>
              <w:bottom w:val="nil"/>
              <w:right w:val="nil"/>
            </w:tcBorders>
            <w:shd w:val="clear" w:color="auto" w:fill="auto"/>
            <w:noWrap/>
            <w:vAlign w:val="center"/>
          </w:tcPr>
          <w:p w14:paraId="497335C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63E2287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636768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4</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7</w:t>
            </w:r>
          </w:p>
        </w:tc>
        <w:tc>
          <w:tcPr>
            <w:tcW w:w="765" w:type="pct"/>
            <w:tcBorders>
              <w:top w:val="nil"/>
              <w:left w:val="nil"/>
              <w:bottom w:val="nil"/>
              <w:right w:val="nil"/>
            </w:tcBorders>
            <w:shd w:val="clear" w:color="auto" w:fill="auto"/>
            <w:noWrap/>
            <w:vAlign w:val="top"/>
          </w:tcPr>
          <w:p w14:paraId="4C62090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2</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52</w:t>
            </w:r>
          </w:p>
        </w:tc>
        <w:tc>
          <w:tcPr>
            <w:tcW w:w="765" w:type="pct"/>
            <w:tcBorders>
              <w:top w:val="nil"/>
              <w:left w:val="nil"/>
              <w:bottom w:val="nil"/>
              <w:right w:val="nil"/>
            </w:tcBorders>
            <w:shd w:val="clear" w:color="auto" w:fill="auto"/>
            <w:noWrap/>
            <w:vAlign w:val="top"/>
          </w:tcPr>
          <w:p w14:paraId="6B1E681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7.</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4</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lang w:val="en-US" w:eastAsia="zh-CN"/>
              </w:rPr>
              <w:t>50</w:t>
            </w:r>
          </w:p>
        </w:tc>
        <w:tc>
          <w:tcPr>
            <w:tcW w:w="366" w:type="pct"/>
            <w:tcBorders>
              <w:top w:val="nil"/>
              <w:left w:val="nil"/>
              <w:bottom w:val="nil"/>
              <w:right w:val="nil"/>
            </w:tcBorders>
            <w:shd w:val="clear" w:color="auto" w:fill="auto"/>
            <w:noWrap/>
            <w:vAlign w:val="center"/>
          </w:tcPr>
          <w:p w14:paraId="64B9985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4.</w:t>
            </w:r>
            <w:r>
              <w:rPr>
                <w:rFonts w:hint="eastAsia" w:ascii="Times New Roman" w:hAnsi="Times New Roman" w:eastAsia="宋体" w:cs="Times New Roman"/>
                <w:color w:val="auto"/>
                <w:kern w:val="2"/>
                <w:sz w:val="21"/>
                <w:szCs w:val="24"/>
                <w:lang w:bidi="ar"/>
              </w:rPr>
              <w:t>896</w:t>
            </w:r>
          </w:p>
        </w:tc>
        <w:tc>
          <w:tcPr>
            <w:tcW w:w="366" w:type="pct"/>
            <w:tcBorders>
              <w:top w:val="nil"/>
              <w:left w:val="nil"/>
              <w:bottom w:val="nil"/>
              <w:right w:val="nil"/>
            </w:tcBorders>
            <w:shd w:val="clear" w:color="auto" w:fill="auto"/>
            <w:noWrap/>
            <w:vAlign w:val="center"/>
          </w:tcPr>
          <w:p w14:paraId="1C7C3FB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012</w:t>
            </w:r>
          </w:p>
        </w:tc>
      </w:tr>
      <w:tr w14:paraId="5381EBA7">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single" w:color="000000" w:sz="8" w:space="0"/>
              <w:right w:val="nil"/>
            </w:tcBorders>
            <w:shd w:val="clear" w:color="auto" w:fill="auto"/>
            <w:noWrap/>
            <w:vAlign w:val="center"/>
          </w:tcPr>
          <w:p w14:paraId="7618438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1BE2A25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607A2AB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49C64D4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72±</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71</w:t>
            </w:r>
          </w:p>
        </w:tc>
        <w:tc>
          <w:tcPr>
            <w:tcW w:w="765" w:type="pct"/>
            <w:tcBorders>
              <w:top w:val="nil"/>
              <w:left w:val="nil"/>
              <w:bottom w:val="nil"/>
              <w:right w:val="nil"/>
            </w:tcBorders>
            <w:shd w:val="clear" w:color="auto" w:fill="auto"/>
            <w:noWrap/>
            <w:vAlign w:val="top"/>
          </w:tcPr>
          <w:p w14:paraId="5FDC91C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3</w:t>
            </w:r>
            <w:r>
              <w:rPr>
                <w:rFonts w:hint="eastAsia" w:ascii="Times New Roman" w:hAnsi="Times New Roman" w:eastAsia="宋体"/>
                <w:color w:val="auto"/>
                <w:sz w:val="21"/>
                <w:szCs w:val="24"/>
                <w:lang w:val="en-US" w:eastAsia="zh-CN"/>
              </w:rPr>
              <w:t>2</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80</w:t>
            </w:r>
          </w:p>
        </w:tc>
        <w:tc>
          <w:tcPr>
            <w:tcW w:w="765" w:type="pct"/>
            <w:tcBorders>
              <w:top w:val="nil"/>
              <w:left w:val="nil"/>
              <w:bottom w:val="nil"/>
              <w:right w:val="nil"/>
            </w:tcBorders>
            <w:shd w:val="clear" w:color="auto" w:fill="auto"/>
            <w:noWrap/>
            <w:vAlign w:val="top"/>
          </w:tcPr>
          <w:p w14:paraId="497554B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3</w:t>
            </w:r>
          </w:p>
        </w:tc>
        <w:tc>
          <w:tcPr>
            <w:tcW w:w="366" w:type="pct"/>
            <w:tcBorders>
              <w:top w:val="nil"/>
              <w:left w:val="nil"/>
              <w:bottom w:val="nil"/>
              <w:right w:val="nil"/>
            </w:tcBorders>
            <w:shd w:val="clear" w:color="auto" w:fill="auto"/>
            <w:noWrap/>
            <w:vAlign w:val="center"/>
          </w:tcPr>
          <w:p w14:paraId="3B1B421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4.</w:t>
            </w:r>
            <w:r>
              <w:rPr>
                <w:rFonts w:hint="eastAsia" w:ascii="Times New Roman" w:hAnsi="Times New Roman" w:eastAsia="宋体" w:cs="Times New Roman"/>
                <w:color w:val="auto"/>
                <w:kern w:val="2"/>
                <w:sz w:val="21"/>
                <w:szCs w:val="24"/>
                <w:lang w:bidi="ar"/>
              </w:rPr>
              <w:t>454</w:t>
            </w:r>
          </w:p>
        </w:tc>
        <w:tc>
          <w:tcPr>
            <w:tcW w:w="366" w:type="pct"/>
            <w:tcBorders>
              <w:top w:val="nil"/>
              <w:left w:val="nil"/>
              <w:bottom w:val="nil"/>
              <w:right w:val="nil"/>
            </w:tcBorders>
            <w:shd w:val="clear" w:color="auto" w:fill="auto"/>
            <w:noWrap/>
            <w:vAlign w:val="center"/>
          </w:tcPr>
          <w:p w14:paraId="142438D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eastAsia="zh-CN" w:bidi="ar"/>
              </w:rPr>
              <w:t>0.</w:t>
            </w:r>
            <w:r>
              <w:rPr>
                <w:rFonts w:hint="eastAsia" w:ascii="Times New Roman" w:hAnsi="Times New Roman" w:eastAsia="宋体" w:cs="Times New Roman"/>
                <w:color w:val="auto"/>
                <w:kern w:val="2"/>
                <w:sz w:val="21"/>
                <w:szCs w:val="24"/>
                <w:lang w:bidi="ar"/>
              </w:rPr>
              <w:t>017</w:t>
            </w:r>
          </w:p>
        </w:tc>
      </w:tr>
      <w:tr w14:paraId="2719EB18">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single" w:color="000000" w:sz="8" w:space="0"/>
              <w:right w:val="nil"/>
            </w:tcBorders>
            <w:shd w:val="clear" w:color="auto" w:fill="auto"/>
            <w:noWrap/>
            <w:vAlign w:val="center"/>
          </w:tcPr>
          <w:p w14:paraId="7F3080F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nil"/>
              <w:right w:val="nil"/>
            </w:tcBorders>
            <w:shd w:val="clear" w:color="auto" w:fill="auto"/>
            <w:noWrap/>
            <w:vAlign w:val="center"/>
          </w:tcPr>
          <w:p w14:paraId="02D09A7E">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17C3729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400F179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6</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1</w:t>
            </w:r>
          </w:p>
        </w:tc>
        <w:tc>
          <w:tcPr>
            <w:tcW w:w="765" w:type="pct"/>
            <w:tcBorders>
              <w:top w:val="nil"/>
              <w:left w:val="nil"/>
              <w:bottom w:val="nil"/>
              <w:right w:val="nil"/>
            </w:tcBorders>
            <w:shd w:val="clear" w:color="auto" w:fill="auto"/>
            <w:noWrap/>
            <w:vAlign w:val="top"/>
          </w:tcPr>
          <w:p w14:paraId="7D94E02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89±</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6</w:t>
            </w:r>
          </w:p>
        </w:tc>
        <w:tc>
          <w:tcPr>
            <w:tcW w:w="765" w:type="pct"/>
            <w:tcBorders>
              <w:top w:val="nil"/>
              <w:left w:val="nil"/>
              <w:bottom w:val="nil"/>
              <w:right w:val="nil"/>
            </w:tcBorders>
            <w:shd w:val="clear" w:color="auto" w:fill="auto"/>
            <w:noWrap/>
            <w:vAlign w:val="top"/>
          </w:tcPr>
          <w:p w14:paraId="0877377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7.</w:t>
            </w:r>
            <w:r>
              <w:rPr>
                <w:rFonts w:hint="eastAsia" w:ascii="Times New Roman" w:hAnsi="Times New Roman" w:eastAsia="宋体"/>
                <w:color w:val="auto"/>
                <w:sz w:val="21"/>
                <w:szCs w:val="24"/>
              </w:rPr>
              <w:t>47±</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2</w:t>
            </w:r>
          </w:p>
        </w:tc>
        <w:tc>
          <w:tcPr>
            <w:tcW w:w="366" w:type="pct"/>
            <w:tcBorders>
              <w:top w:val="nil"/>
              <w:left w:val="nil"/>
              <w:bottom w:val="nil"/>
              <w:right w:val="nil"/>
            </w:tcBorders>
            <w:shd w:val="clear" w:color="auto" w:fill="auto"/>
            <w:noWrap/>
            <w:vAlign w:val="center"/>
          </w:tcPr>
          <w:p w14:paraId="6FBDD92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2.</w:t>
            </w:r>
            <w:r>
              <w:rPr>
                <w:rFonts w:hint="eastAsia" w:ascii="Times New Roman" w:hAnsi="Times New Roman" w:eastAsia="宋体"/>
                <w:color w:val="auto"/>
                <w:kern w:val="2"/>
                <w:sz w:val="21"/>
                <w:szCs w:val="24"/>
                <w:lang w:bidi="ar"/>
              </w:rPr>
              <w:t>674</w:t>
            </w:r>
          </w:p>
        </w:tc>
        <w:tc>
          <w:tcPr>
            <w:tcW w:w="366" w:type="pct"/>
            <w:tcBorders>
              <w:top w:val="nil"/>
              <w:left w:val="nil"/>
              <w:bottom w:val="nil"/>
              <w:right w:val="nil"/>
            </w:tcBorders>
            <w:shd w:val="clear" w:color="auto" w:fill="auto"/>
            <w:noWrap/>
            <w:vAlign w:val="center"/>
          </w:tcPr>
          <w:p w14:paraId="00E7577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091</w:t>
            </w:r>
          </w:p>
        </w:tc>
      </w:tr>
      <w:tr w14:paraId="0CD1B9F1">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single" w:color="000000" w:sz="8" w:space="0"/>
              <w:right w:val="nil"/>
            </w:tcBorders>
            <w:shd w:val="clear" w:color="auto" w:fill="auto"/>
            <w:noWrap/>
            <w:vAlign w:val="center"/>
          </w:tcPr>
          <w:p w14:paraId="7BB4234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48BAF9D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480FA83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1BB50A2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3</w:t>
            </w:r>
          </w:p>
        </w:tc>
        <w:tc>
          <w:tcPr>
            <w:tcW w:w="765" w:type="pct"/>
            <w:tcBorders>
              <w:top w:val="nil"/>
              <w:left w:val="nil"/>
              <w:bottom w:val="nil"/>
              <w:right w:val="nil"/>
            </w:tcBorders>
            <w:shd w:val="clear" w:color="auto" w:fill="auto"/>
            <w:noWrap/>
            <w:vAlign w:val="top"/>
          </w:tcPr>
          <w:p w14:paraId="29B9085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92±</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6</w:t>
            </w:r>
          </w:p>
        </w:tc>
        <w:tc>
          <w:tcPr>
            <w:tcW w:w="765" w:type="pct"/>
            <w:tcBorders>
              <w:top w:val="nil"/>
              <w:left w:val="nil"/>
              <w:bottom w:val="nil"/>
              <w:right w:val="nil"/>
            </w:tcBorders>
            <w:shd w:val="clear" w:color="auto" w:fill="auto"/>
            <w:noWrap/>
            <w:vAlign w:val="top"/>
          </w:tcPr>
          <w:p w14:paraId="36ADA58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1</w:t>
            </w:r>
          </w:p>
        </w:tc>
        <w:tc>
          <w:tcPr>
            <w:tcW w:w="366" w:type="pct"/>
            <w:tcBorders>
              <w:top w:val="nil"/>
              <w:left w:val="nil"/>
              <w:bottom w:val="nil"/>
              <w:right w:val="nil"/>
            </w:tcBorders>
            <w:shd w:val="clear" w:color="auto" w:fill="auto"/>
            <w:noWrap/>
            <w:vAlign w:val="center"/>
          </w:tcPr>
          <w:p w14:paraId="128A736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3.</w:t>
            </w:r>
            <w:r>
              <w:rPr>
                <w:rFonts w:hint="eastAsia" w:ascii="Times New Roman" w:hAnsi="Times New Roman" w:eastAsia="宋体"/>
                <w:color w:val="auto"/>
                <w:kern w:val="2"/>
                <w:sz w:val="21"/>
                <w:szCs w:val="24"/>
                <w:lang w:bidi="ar"/>
              </w:rPr>
              <w:t>084</w:t>
            </w:r>
          </w:p>
        </w:tc>
        <w:tc>
          <w:tcPr>
            <w:tcW w:w="366" w:type="pct"/>
            <w:tcBorders>
              <w:top w:val="nil"/>
              <w:left w:val="nil"/>
              <w:bottom w:val="nil"/>
              <w:right w:val="nil"/>
            </w:tcBorders>
            <w:shd w:val="clear" w:color="auto" w:fill="auto"/>
            <w:noWrap/>
            <w:vAlign w:val="center"/>
          </w:tcPr>
          <w:p w14:paraId="29301B6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066</w:t>
            </w:r>
          </w:p>
        </w:tc>
      </w:tr>
      <w:tr w14:paraId="0A209F7E">
        <w:tblPrEx>
          <w:tblCellMar>
            <w:top w:w="0" w:type="dxa"/>
            <w:left w:w="108" w:type="dxa"/>
            <w:bottom w:w="0" w:type="dxa"/>
            <w:right w:w="108" w:type="dxa"/>
          </w:tblCellMar>
        </w:tblPrEx>
        <w:trPr>
          <w:trHeight w:val="270" w:hRule="atLeast"/>
          <w:jc w:val="center"/>
        </w:trPr>
        <w:tc>
          <w:tcPr>
            <w:tcW w:w="565" w:type="pct"/>
            <w:vMerge w:val="continue"/>
            <w:tcBorders>
              <w:top w:val="nil"/>
              <w:left w:val="nil"/>
              <w:bottom w:val="single" w:color="000000" w:sz="8" w:space="0"/>
              <w:right w:val="nil"/>
            </w:tcBorders>
            <w:shd w:val="clear" w:color="auto" w:fill="auto"/>
            <w:noWrap/>
            <w:vAlign w:val="center"/>
          </w:tcPr>
          <w:p w14:paraId="52EB60D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restart"/>
            <w:tcBorders>
              <w:top w:val="nil"/>
              <w:left w:val="nil"/>
              <w:bottom w:val="single" w:color="000000" w:sz="8" w:space="0"/>
              <w:right w:val="nil"/>
            </w:tcBorders>
            <w:shd w:val="clear" w:color="auto" w:fill="auto"/>
            <w:noWrap/>
            <w:vAlign w:val="center"/>
          </w:tcPr>
          <w:p w14:paraId="2AEF8C0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42DA98B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57209D1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21±</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06</w:t>
            </w:r>
          </w:p>
        </w:tc>
        <w:tc>
          <w:tcPr>
            <w:tcW w:w="765" w:type="pct"/>
            <w:tcBorders>
              <w:top w:val="nil"/>
              <w:left w:val="nil"/>
              <w:bottom w:val="nil"/>
              <w:right w:val="nil"/>
            </w:tcBorders>
            <w:shd w:val="clear" w:color="auto" w:fill="auto"/>
            <w:noWrap/>
            <w:vAlign w:val="top"/>
          </w:tcPr>
          <w:p w14:paraId="73C1E1E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3</w:t>
            </w:r>
          </w:p>
        </w:tc>
        <w:tc>
          <w:tcPr>
            <w:tcW w:w="765" w:type="pct"/>
            <w:tcBorders>
              <w:top w:val="nil"/>
              <w:left w:val="nil"/>
              <w:bottom w:val="nil"/>
              <w:right w:val="nil"/>
            </w:tcBorders>
            <w:shd w:val="clear" w:color="auto" w:fill="auto"/>
            <w:noWrap/>
            <w:vAlign w:val="top"/>
          </w:tcPr>
          <w:p w14:paraId="0B1E869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8.</w:t>
            </w:r>
            <w:r>
              <w:rPr>
                <w:rFonts w:hint="eastAsia" w:ascii="Times New Roman" w:hAnsi="Times New Roman" w:eastAsia="宋体"/>
                <w:color w:val="auto"/>
                <w:sz w:val="21"/>
                <w:szCs w:val="24"/>
              </w:rPr>
              <w:t>25±</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6</w:t>
            </w:r>
            <w:r>
              <w:rPr>
                <w:rFonts w:hint="eastAsia" w:ascii="Times New Roman" w:hAnsi="Times New Roman" w:eastAsia="宋体"/>
                <w:color w:val="auto"/>
                <w:sz w:val="21"/>
                <w:szCs w:val="24"/>
                <w:lang w:val="en-US" w:eastAsia="zh-CN"/>
              </w:rPr>
              <w:t>9</w:t>
            </w:r>
          </w:p>
        </w:tc>
        <w:tc>
          <w:tcPr>
            <w:tcW w:w="366" w:type="pct"/>
            <w:tcBorders>
              <w:top w:val="nil"/>
              <w:left w:val="nil"/>
              <w:bottom w:val="nil"/>
              <w:right w:val="nil"/>
            </w:tcBorders>
            <w:shd w:val="clear" w:color="auto" w:fill="auto"/>
            <w:noWrap/>
            <w:vAlign w:val="center"/>
          </w:tcPr>
          <w:p w14:paraId="6B63E36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2.</w:t>
            </w:r>
            <w:r>
              <w:rPr>
                <w:rFonts w:hint="eastAsia" w:ascii="Times New Roman" w:hAnsi="Times New Roman" w:eastAsia="宋体"/>
                <w:color w:val="auto"/>
                <w:kern w:val="2"/>
                <w:sz w:val="21"/>
                <w:szCs w:val="24"/>
                <w:lang w:bidi="ar"/>
              </w:rPr>
              <w:t>462</w:t>
            </w:r>
          </w:p>
        </w:tc>
        <w:tc>
          <w:tcPr>
            <w:tcW w:w="366" w:type="pct"/>
            <w:tcBorders>
              <w:top w:val="nil"/>
              <w:left w:val="nil"/>
              <w:bottom w:val="nil"/>
              <w:right w:val="nil"/>
            </w:tcBorders>
            <w:shd w:val="clear" w:color="auto" w:fill="auto"/>
            <w:noWrap/>
            <w:vAlign w:val="center"/>
          </w:tcPr>
          <w:p w14:paraId="7636BC5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107</w:t>
            </w:r>
          </w:p>
        </w:tc>
      </w:tr>
      <w:tr w14:paraId="7CBF86C4">
        <w:tblPrEx>
          <w:tblCellMar>
            <w:top w:w="0" w:type="dxa"/>
            <w:left w:w="108" w:type="dxa"/>
            <w:bottom w:w="0" w:type="dxa"/>
            <w:right w:w="108" w:type="dxa"/>
          </w:tblCellMar>
        </w:tblPrEx>
        <w:trPr>
          <w:trHeight w:val="285" w:hRule="atLeast"/>
          <w:jc w:val="center"/>
        </w:trPr>
        <w:tc>
          <w:tcPr>
            <w:tcW w:w="565" w:type="pct"/>
            <w:vMerge w:val="continue"/>
            <w:tcBorders>
              <w:top w:val="nil"/>
              <w:left w:val="nil"/>
              <w:bottom w:val="nil"/>
              <w:right w:val="nil"/>
            </w:tcBorders>
            <w:shd w:val="clear" w:color="auto" w:fill="auto"/>
            <w:noWrap/>
            <w:vAlign w:val="center"/>
          </w:tcPr>
          <w:p w14:paraId="3379639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vMerge w:val="continue"/>
            <w:tcBorders>
              <w:top w:val="nil"/>
              <w:left w:val="nil"/>
              <w:bottom w:val="nil"/>
              <w:right w:val="nil"/>
            </w:tcBorders>
            <w:shd w:val="clear" w:color="auto" w:fill="auto"/>
            <w:noWrap/>
            <w:vAlign w:val="center"/>
          </w:tcPr>
          <w:p w14:paraId="52EE10BD">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1204F2B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62DEFD1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9</w:t>
            </w:r>
          </w:p>
        </w:tc>
        <w:tc>
          <w:tcPr>
            <w:tcW w:w="765" w:type="pct"/>
            <w:tcBorders>
              <w:top w:val="nil"/>
              <w:left w:val="nil"/>
              <w:bottom w:val="nil"/>
              <w:right w:val="nil"/>
            </w:tcBorders>
            <w:shd w:val="clear" w:color="auto" w:fill="auto"/>
            <w:vAlign w:val="top"/>
          </w:tcPr>
          <w:p w14:paraId="02FD1F8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9.</w:t>
            </w:r>
            <w:r>
              <w:rPr>
                <w:rFonts w:hint="eastAsia" w:ascii="Times New Roman" w:hAnsi="Times New Roman" w:eastAsia="宋体"/>
                <w:color w:val="auto"/>
                <w:sz w:val="21"/>
                <w:szCs w:val="24"/>
              </w:rPr>
              <w:t>71±</w:t>
            </w:r>
            <w:r>
              <w:rPr>
                <w:rFonts w:hint="eastAsia" w:ascii="Times New Roman" w:hAnsi="Times New Roman" w:eastAsia="宋体"/>
                <w:color w:val="auto"/>
                <w:sz w:val="21"/>
                <w:szCs w:val="24"/>
                <w:lang w:eastAsia="zh-CN"/>
              </w:rPr>
              <w:t>1.</w:t>
            </w:r>
            <w:r>
              <w:rPr>
                <w:rFonts w:hint="eastAsia" w:ascii="Times New Roman" w:hAnsi="Times New Roman" w:eastAsia="宋体"/>
                <w:color w:val="auto"/>
                <w:sz w:val="21"/>
                <w:szCs w:val="24"/>
              </w:rPr>
              <w:t>11</w:t>
            </w:r>
          </w:p>
        </w:tc>
        <w:tc>
          <w:tcPr>
            <w:tcW w:w="765" w:type="pct"/>
            <w:tcBorders>
              <w:top w:val="nil"/>
              <w:left w:val="nil"/>
              <w:bottom w:val="nil"/>
              <w:right w:val="nil"/>
            </w:tcBorders>
            <w:shd w:val="clear" w:color="auto" w:fill="auto"/>
            <w:vAlign w:val="top"/>
          </w:tcPr>
          <w:p w14:paraId="48137AC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eastAsia="zh-CN"/>
              </w:rPr>
              <w:t>7.</w:t>
            </w:r>
            <w:r>
              <w:rPr>
                <w:rFonts w:hint="eastAsia" w:ascii="Times New Roman" w:hAnsi="Times New Roman" w:eastAsia="宋体"/>
                <w:color w:val="auto"/>
                <w:sz w:val="21"/>
                <w:szCs w:val="24"/>
              </w:rPr>
              <w:t>9</w:t>
            </w:r>
            <w:r>
              <w:rPr>
                <w:rFonts w:hint="eastAsia" w:ascii="Times New Roman" w:hAnsi="Times New Roman" w:eastAsia="宋体"/>
                <w:color w:val="auto"/>
                <w:sz w:val="21"/>
                <w:szCs w:val="24"/>
                <w:lang w:val="en-US" w:eastAsia="zh-CN"/>
              </w:rPr>
              <w:t>4</w:t>
            </w:r>
            <w:r>
              <w:rPr>
                <w:rFonts w:hint="eastAsia" w:ascii="Times New Roman" w:hAnsi="Times New Roman" w:eastAsia="宋体"/>
                <w:color w:val="auto"/>
                <w:sz w:val="21"/>
                <w:szCs w:val="24"/>
              </w:rPr>
              <w:t>±</w:t>
            </w:r>
            <w:r>
              <w:rPr>
                <w:rFonts w:hint="eastAsia" w:ascii="Times New Roman" w:hAnsi="Times New Roman" w:eastAsia="宋体"/>
                <w:color w:val="auto"/>
                <w:sz w:val="21"/>
                <w:szCs w:val="24"/>
                <w:lang w:eastAsia="zh-CN"/>
              </w:rPr>
              <w:t>0.</w:t>
            </w:r>
            <w:r>
              <w:rPr>
                <w:rFonts w:hint="eastAsia" w:ascii="Times New Roman" w:hAnsi="Times New Roman" w:eastAsia="宋体"/>
                <w:color w:val="auto"/>
                <w:sz w:val="21"/>
                <w:szCs w:val="24"/>
              </w:rPr>
              <w:t>8</w:t>
            </w:r>
            <w:r>
              <w:rPr>
                <w:rFonts w:hint="eastAsia" w:ascii="Times New Roman" w:hAnsi="Times New Roman" w:eastAsia="宋体"/>
                <w:color w:val="auto"/>
                <w:sz w:val="21"/>
                <w:szCs w:val="24"/>
                <w:lang w:val="en-US" w:eastAsia="zh-CN"/>
              </w:rPr>
              <w:t>7</w:t>
            </w:r>
          </w:p>
        </w:tc>
        <w:tc>
          <w:tcPr>
            <w:tcW w:w="366" w:type="pct"/>
            <w:tcBorders>
              <w:top w:val="nil"/>
              <w:left w:val="nil"/>
              <w:bottom w:val="nil"/>
              <w:right w:val="nil"/>
            </w:tcBorders>
            <w:shd w:val="clear" w:color="auto" w:fill="auto"/>
            <w:vAlign w:val="center"/>
          </w:tcPr>
          <w:p w14:paraId="5842C6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2.</w:t>
            </w:r>
            <w:r>
              <w:rPr>
                <w:rFonts w:hint="eastAsia" w:ascii="Times New Roman" w:hAnsi="Times New Roman" w:eastAsia="宋体"/>
                <w:color w:val="auto"/>
                <w:kern w:val="2"/>
                <w:sz w:val="21"/>
                <w:szCs w:val="24"/>
                <w:lang w:bidi="ar"/>
              </w:rPr>
              <w:t>2</w:t>
            </w:r>
            <w:r>
              <w:rPr>
                <w:rFonts w:hint="eastAsia" w:ascii="Times New Roman" w:hAnsi="Times New Roman" w:eastAsia="宋体"/>
                <w:color w:val="auto"/>
                <w:kern w:val="2"/>
                <w:sz w:val="21"/>
                <w:szCs w:val="24"/>
                <w:lang w:val="en-US" w:eastAsia="zh-CN" w:bidi="ar"/>
              </w:rPr>
              <w:t>00</w:t>
            </w:r>
          </w:p>
        </w:tc>
        <w:tc>
          <w:tcPr>
            <w:tcW w:w="366" w:type="pct"/>
            <w:tcBorders>
              <w:top w:val="nil"/>
              <w:left w:val="nil"/>
              <w:bottom w:val="nil"/>
              <w:right w:val="nil"/>
            </w:tcBorders>
            <w:shd w:val="clear" w:color="auto" w:fill="auto"/>
            <w:vAlign w:val="center"/>
          </w:tcPr>
          <w:p w14:paraId="36DC890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kern w:val="2"/>
                <w:sz w:val="21"/>
                <w:szCs w:val="24"/>
                <w:lang w:eastAsia="zh-CN" w:bidi="ar"/>
              </w:rPr>
              <w:t>0.</w:t>
            </w:r>
            <w:r>
              <w:rPr>
                <w:rFonts w:hint="eastAsia" w:ascii="Times New Roman" w:hAnsi="Times New Roman" w:eastAsia="宋体"/>
                <w:color w:val="auto"/>
                <w:kern w:val="2"/>
                <w:sz w:val="21"/>
                <w:szCs w:val="24"/>
                <w:lang w:bidi="ar"/>
              </w:rPr>
              <w:t>133</w:t>
            </w:r>
          </w:p>
        </w:tc>
      </w:tr>
      <w:tr w14:paraId="715CF096">
        <w:tblPrEx>
          <w:tblCellMar>
            <w:top w:w="0" w:type="dxa"/>
            <w:left w:w="108" w:type="dxa"/>
            <w:bottom w:w="0" w:type="dxa"/>
            <w:right w:w="108" w:type="dxa"/>
          </w:tblCellMar>
        </w:tblPrEx>
        <w:trPr>
          <w:trHeight w:val="285" w:hRule="atLeast"/>
          <w:jc w:val="center"/>
        </w:trPr>
        <w:tc>
          <w:tcPr>
            <w:tcW w:w="565" w:type="pct"/>
            <w:vMerge w:val="restart"/>
            <w:tcBorders>
              <w:top w:val="nil"/>
              <w:left w:val="nil"/>
              <w:right w:val="nil"/>
            </w:tcBorders>
            <w:shd w:val="clear" w:color="auto" w:fill="auto"/>
            <w:noWrap/>
            <w:vAlign w:val="center"/>
          </w:tcPr>
          <w:p w14:paraId="2CA87F9F">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max</w:t>
            </w:r>
          </w:p>
        </w:tc>
        <w:tc>
          <w:tcPr>
            <w:tcW w:w="765" w:type="pct"/>
            <w:tcBorders>
              <w:top w:val="nil"/>
              <w:left w:val="nil"/>
              <w:bottom w:val="nil"/>
              <w:right w:val="nil"/>
            </w:tcBorders>
            <w:shd w:val="clear" w:color="auto" w:fill="auto"/>
            <w:noWrap/>
            <w:vAlign w:val="center"/>
          </w:tcPr>
          <w:p w14:paraId="4858F7DB">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51675A0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0658F27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5.20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0.62</w:t>
            </w:r>
          </w:p>
        </w:tc>
        <w:tc>
          <w:tcPr>
            <w:tcW w:w="765" w:type="pct"/>
            <w:tcBorders>
              <w:top w:val="nil"/>
              <w:left w:val="nil"/>
              <w:bottom w:val="nil"/>
              <w:right w:val="nil"/>
            </w:tcBorders>
            <w:shd w:val="clear" w:color="auto" w:fill="auto"/>
            <w:vAlign w:val="top"/>
          </w:tcPr>
          <w:p w14:paraId="546F052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4.8</w:t>
            </w:r>
            <w:r>
              <w:rPr>
                <w:rFonts w:hint="eastAsia" w:ascii="Times New Roman" w:hAnsi="Times New Roman" w:eastAsia="宋体"/>
                <w:color w:val="auto"/>
                <w:sz w:val="21"/>
                <w:szCs w:val="24"/>
                <w:lang w:val="en-US" w:eastAsia="zh-CN"/>
              </w:rPr>
              <w:t>6</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0.63</w:t>
            </w:r>
          </w:p>
        </w:tc>
        <w:tc>
          <w:tcPr>
            <w:tcW w:w="765" w:type="pct"/>
            <w:tcBorders>
              <w:top w:val="nil"/>
              <w:left w:val="nil"/>
              <w:bottom w:val="nil"/>
              <w:right w:val="nil"/>
            </w:tcBorders>
            <w:shd w:val="clear" w:color="auto" w:fill="auto"/>
            <w:vAlign w:val="top"/>
          </w:tcPr>
          <w:p w14:paraId="2FEEE46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4.8</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0.6</w:t>
            </w:r>
            <w:r>
              <w:rPr>
                <w:rFonts w:hint="eastAsia" w:ascii="Times New Roman" w:hAnsi="Times New Roman" w:eastAsia="宋体"/>
                <w:color w:val="auto"/>
                <w:sz w:val="21"/>
                <w:szCs w:val="24"/>
                <w:lang w:val="en-US" w:eastAsia="zh-CN"/>
              </w:rPr>
              <w:t>7</w:t>
            </w:r>
          </w:p>
        </w:tc>
        <w:tc>
          <w:tcPr>
            <w:tcW w:w="366" w:type="pct"/>
            <w:tcBorders>
              <w:top w:val="nil"/>
              <w:left w:val="nil"/>
              <w:bottom w:val="nil"/>
              <w:right w:val="nil"/>
            </w:tcBorders>
            <w:shd w:val="clear" w:color="auto" w:fill="auto"/>
            <w:vAlign w:val="top"/>
          </w:tcPr>
          <w:p w14:paraId="4075AC43">
            <w:pPr>
              <w:keepNext w:val="0"/>
              <w:keepLines w:val="0"/>
              <w:pageBreakBefore w:val="0"/>
              <w:kinsoku/>
              <w:wordWrap/>
              <w:overflowPunct/>
              <w:topLinePunct w:val="0"/>
              <w:autoSpaceDE/>
              <w:autoSpaceDN/>
              <w:bidi w:val="0"/>
              <w:adjustRightInd/>
              <w:snapToGrid/>
              <w:spacing w:beforeLines="-2147483648" w:beforeAutospacing="0" w:afterLines="-2147483648"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1.143</w:t>
            </w:r>
          </w:p>
        </w:tc>
        <w:tc>
          <w:tcPr>
            <w:tcW w:w="366" w:type="pct"/>
            <w:tcBorders>
              <w:top w:val="nil"/>
              <w:left w:val="nil"/>
              <w:bottom w:val="nil"/>
              <w:right w:val="nil"/>
            </w:tcBorders>
            <w:shd w:val="clear" w:color="auto" w:fill="auto"/>
            <w:vAlign w:val="top"/>
          </w:tcPr>
          <w:p w14:paraId="3B230114">
            <w:pPr>
              <w:keepNext w:val="0"/>
              <w:keepLines w:val="0"/>
              <w:pageBreakBefore w:val="0"/>
              <w:kinsoku/>
              <w:wordWrap/>
              <w:overflowPunct/>
              <w:topLinePunct w:val="0"/>
              <w:autoSpaceDE/>
              <w:autoSpaceDN/>
              <w:bidi w:val="0"/>
              <w:adjustRightInd/>
              <w:snapToGrid/>
              <w:spacing w:beforeLines="-2147483648" w:beforeAutospacing="0" w:afterLines="-2147483648"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0.314</w:t>
            </w:r>
          </w:p>
        </w:tc>
      </w:tr>
      <w:tr w14:paraId="003A884E">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566A9DD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4FE8C3C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536F587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E88DC7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3.4</w:t>
            </w:r>
            <w:r>
              <w:rPr>
                <w:rFonts w:hint="eastAsia" w:ascii="Times New Roman" w:hAnsi="Times New Roman" w:eastAsia="宋体"/>
                <w:color w:val="auto"/>
                <w:sz w:val="21"/>
                <w:szCs w:val="24"/>
                <w:lang w:val="en-US" w:eastAsia="zh-CN"/>
              </w:rPr>
              <w:t>3</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0.6</w:t>
            </w:r>
            <w:r>
              <w:rPr>
                <w:rFonts w:hint="eastAsia" w:ascii="Times New Roman" w:hAnsi="Times New Roman" w:eastAsia="宋体"/>
                <w:color w:val="auto"/>
                <w:sz w:val="21"/>
                <w:szCs w:val="24"/>
                <w:lang w:val="en-US" w:eastAsia="zh-CN"/>
              </w:rPr>
              <w:t>9</w:t>
            </w:r>
          </w:p>
        </w:tc>
        <w:tc>
          <w:tcPr>
            <w:tcW w:w="765" w:type="pct"/>
            <w:tcBorders>
              <w:top w:val="nil"/>
              <w:left w:val="nil"/>
              <w:bottom w:val="nil"/>
              <w:right w:val="nil"/>
            </w:tcBorders>
            <w:shd w:val="clear" w:color="auto" w:fill="auto"/>
            <w:vAlign w:val="top"/>
          </w:tcPr>
          <w:p w14:paraId="2DAFAFC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3.6</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0.66</w:t>
            </w:r>
          </w:p>
        </w:tc>
        <w:tc>
          <w:tcPr>
            <w:tcW w:w="765" w:type="pct"/>
            <w:tcBorders>
              <w:top w:val="nil"/>
              <w:left w:val="nil"/>
              <w:bottom w:val="nil"/>
              <w:right w:val="nil"/>
            </w:tcBorders>
            <w:shd w:val="clear" w:color="auto" w:fill="auto"/>
            <w:vAlign w:val="top"/>
          </w:tcPr>
          <w:p w14:paraId="3535EAC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3.7</w:t>
            </w:r>
            <w:r>
              <w:rPr>
                <w:rFonts w:hint="eastAsia" w:ascii="Times New Roman" w:hAnsi="Times New Roman" w:eastAsia="宋体"/>
                <w:color w:val="auto"/>
                <w:sz w:val="21"/>
                <w:szCs w:val="24"/>
                <w:lang w:val="en-US" w:eastAsia="zh-CN"/>
              </w:rPr>
              <w:t>2</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0.7</w:t>
            </w:r>
            <w:r>
              <w:rPr>
                <w:rFonts w:hint="eastAsia" w:ascii="Times New Roman" w:hAnsi="Times New Roman" w:eastAsia="宋体"/>
                <w:color w:val="auto"/>
                <w:sz w:val="21"/>
                <w:szCs w:val="24"/>
                <w:lang w:val="en-US" w:eastAsia="zh-CN"/>
              </w:rPr>
              <w:t>5</w:t>
            </w:r>
          </w:p>
        </w:tc>
        <w:tc>
          <w:tcPr>
            <w:tcW w:w="366" w:type="pct"/>
            <w:tcBorders>
              <w:top w:val="nil"/>
              <w:left w:val="nil"/>
              <w:bottom w:val="nil"/>
              <w:right w:val="nil"/>
            </w:tcBorders>
            <w:shd w:val="clear" w:color="auto" w:fill="auto"/>
            <w:vAlign w:val="top"/>
          </w:tcPr>
          <w:p w14:paraId="4E0C4F36">
            <w:pPr>
              <w:keepNext w:val="0"/>
              <w:keepLines w:val="0"/>
              <w:pageBreakBefore w:val="0"/>
              <w:kinsoku/>
              <w:wordWrap/>
              <w:overflowPunct/>
              <w:topLinePunct w:val="0"/>
              <w:autoSpaceDE/>
              <w:autoSpaceDN/>
              <w:bidi w:val="0"/>
              <w:adjustRightInd/>
              <w:snapToGrid/>
              <w:spacing w:beforeLines="-2147483648" w:beforeAutospacing="0" w:afterLines="-2147483648"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0.722</w:t>
            </w:r>
          </w:p>
        </w:tc>
        <w:tc>
          <w:tcPr>
            <w:tcW w:w="366" w:type="pct"/>
            <w:tcBorders>
              <w:top w:val="nil"/>
              <w:left w:val="nil"/>
              <w:bottom w:val="nil"/>
              <w:right w:val="nil"/>
            </w:tcBorders>
            <w:shd w:val="clear" w:color="auto" w:fill="auto"/>
            <w:vAlign w:val="top"/>
          </w:tcPr>
          <w:p w14:paraId="23F4B9E7">
            <w:pPr>
              <w:keepNext w:val="0"/>
              <w:keepLines w:val="0"/>
              <w:pageBreakBefore w:val="0"/>
              <w:kinsoku/>
              <w:wordWrap/>
              <w:overflowPunct/>
              <w:topLinePunct w:val="0"/>
              <w:autoSpaceDE/>
              <w:autoSpaceDN/>
              <w:bidi w:val="0"/>
              <w:adjustRightInd/>
              <w:snapToGrid/>
              <w:spacing w:beforeLines="-2147483648" w:beforeAutospacing="0" w:afterLines="-2147483648" w:afterAutospacing="0" w:line="360" w:lineRule="auto"/>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0.491</w:t>
            </w:r>
          </w:p>
        </w:tc>
      </w:tr>
      <w:tr w14:paraId="3099C18A">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30BF6FB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51E3F359">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25B4233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6399D0E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5.1</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0.92</w:t>
            </w:r>
          </w:p>
        </w:tc>
        <w:tc>
          <w:tcPr>
            <w:tcW w:w="765" w:type="pct"/>
            <w:tcBorders>
              <w:top w:val="nil"/>
              <w:left w:val="nil"/>
              <w:bottom w:val="nil"/>
              <w:right w:val="nil"/>
            </w:tcBorders>
            <w:shd w:val="clear" w:color="auto" w:fill="auto"/>
            <w:vAlign w:val="top"/>
          </w:tcPr>
          <w:p w14:paraId="75BC51C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90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w:t>
            </w:r>
            <w:r>
              <w:rPr>
                <w:rFonts w:hint="eastAsia" w:ascii="Times New Roman" w:hAnsi="Times New Roman" w:eastAsia="宋体"/>
                <w:color w:val="auto"/>
                <w:sz w:val="21"/>
                <w:szCs w:val="24"/>
                <w:lang w:val="en-US" w:eastAsia="zh-CN"/>
              </w:rPr>
              <w:t>7</w:t>
            </w:r>
          </w:p>
        </w:tc>
        <w:tc>
          <w:tcPr>
            <w:tcW w:w="765" w:type="pct"/>
            <w:tcBorders>
              <w:top w:val="nil"/>
              <w:left w:val="nil"/>
              <w:bottom w:val="nil"/>
              <w:right w:val="nil"/>
            </w:tcBorders>
            <w:shd w:val="clear" w:color="auto" w:fill="auto"/>
            <w:vAlign w:val="top"/>
          </w:tcPr>
          <w:p w14:paraId="511BE95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lang w:eastAsia="zh-CN"/>
              </w:rPr>
            </w:pPr>
            <w:r>
              <w:rPr>
                <w:rFonts w:hint="eastAsia" w:ascii="Times New Roman" w:hAnsi="Times New Roman" w:eastAsia="宋体"/>
                <w:color w:val="auto"/>
                <w:sz w:val="21"/>
                <w:szCs w:val="24"/>
              </w:rPr>
              <w:t>4.</w:t>
            </w:r>
            <w:r>
              <w:rPr>
                <w:rFonts w:hint="eastAsia" w:ascii="Times New Roman" w:hAnsi="Times New Roman" w:eastAsia="宋体"/>
                <w:color w:val="auto"/>
                <w:sz w:val="21"/>
                <w:szCs w:val="24"/>
                <w:lang w:val="en-US" w:eastAsia="zh-CN"/>
              </w:rPr>
              <w:t>70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90</w:t>
            </w:r>
          </w:p>
        </w:tc>
        <w:tc>
          <w:tcPr>
            <w:tcW w:w="366" w:type="pct"/>
            <w:tcBorders>
              <w:top w:val="nil"/>
              <w:left w:val="nil"/>
              <w:bottom w:val="nil"/>
              <w:right w:val="nil"/>
            </w:tcBorders>
            <w:shd w:val="clear" w:color="auto" w:fill="auto"/>
            <w:vAlign w:val="top"/>
          </w:tcPr>
          <w:p w14:paraId="3DEDF7E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0.562</w:t>
            </w:r>
          </w:p>
        </w:tc>
        <w:tc>
          <w:tcPr>
            <w:tcW w:w="366" w:type="pct"/>
            <w:tcBorders>
              <w:top w:val="nil"/>
              <w:left w:val="nil"/>
              <w:bottom w:val="nil"/>
              <w:right w:val="nil"/>
            </w:tcBorders>
            <w:shd w:val="clear" w:color="auto" w:fill="auto"/>
            <w:vAlign w:val="top"/>
          </w:tcPr>
          <w:p w14:paraId="3726EE8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0.578</w:t>
            </w:r>
          </w:p>
        </w:tc>
      </w:tr>
      <w:tr w14:paraId="366C8D35">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766C92C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0C32198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1A6A326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0BB677C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2.98</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1.13</w:t>
            </w:r>
          </w:p>
        </w:tc>
        <w:tc>
          <w:tcPr>
            <w:tcW w:w="765" w:type="pct"/>
            <w:tcBorders>
              <w:top w:val="nil"/>
              <w:left w:val="nil"/>
              <w:bottom w:val="nil"/>
              <w:right w:val="nil"/>
            </w:tcBorders>
            <w:shd w:val="clear" w:color="auto" w:fill="auto"/>
            <w:vAlign w:val="top"/>
          </w:tcPr>
          <w:p w14:paraId="1246EF1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3.58</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1.16</w:t>
            </w:r>
          </w:p>
        </w:tc>
        <w:tc>
          <w:tcPr>
            <w:tcW w:w="765" w:type="pct"/>
            <w:tcBorders>
              <w:top w:val="nil"/>
              <w:left w:val="nil"/>
              <w:bottom w:val="nil"/>
              <w:right w:val="nil"/>
            </w:tcBorders>
            <w:shd w:val="clear" w:color="auto" w:fill="auto"/>
            <w:vAlign w:val="top"/>
          </w:tcPr>
          <w:p w14:paraId="4345873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lang w:eastAsia="zh-CN"/>
              </w:rPr>
            </w:pPr>
            <w:r>
              <w:rPr>
                <w:rFonts w:hint="eastAsia" w:ascii="Times New Roman" w:hAnsi="Times New Roman" w:eastAsia="宋体"/>
                <w:color w:val="auto"/>
                <w:sz w:val="21"/>
                <w:szCs w:val="24"/>
              </w:rPr>
              <w:t>3.4</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20</w:t>
            </w:r>
          </w:p>
        </w:tc>
        <w:tc>
          <w:tcPr>
            <w:tcW w:w="366" w:type="pct"/>
            <w:tcBorders>
              <w:top w:val="nil"/>
              <w:left w:val="nil"/>
              <w:bottom w:val="nil"/>
              <w:right w:val="nil"/>
            </w:tcBorders>
            <w:shd w:val="clear" w:color="auto" w:fill="auto"/>
            <w:vAlign w:val="top"/>
          </w:tcPr>
          <w:p w14:paraId="68B940E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1.755</w:t>
            </w:r>
          </w:p>
        </w:tc>
        <w:tc>
          <w:tcPr>
            <w:tcW w:w="366" w:type="pct"/>
            <w:tcBorders>
              <w:top w:val="nil"/>
              <w:left w:val="nil"/>
              <w:bottom w:val="nil"/>
              <w:right w:val="nil"/>
            </w:tcBorders>
            <w:shd w:val="clear" w:color="auto" w:fill="auto"/>
            <w:vAlign w:val="top"/>
          </w:tcPr>
          <w:p w14:paraId="7AEC6AD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0.196</w:t>
            </w:r>
          </w:p>
        </w:tc>
      </w:tr>
      <w:tr w14:paraId="797B7B88">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7A6A1D2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0A5D5B4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0B9783A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EB30D4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5.</w:t>
            </w:r>
            <w:r>
              <w:rPr>
                <w:rFonts w:hint="eastAsia" w:ascii="Times New Roman" w:hAnsi="Times New Roman" w:eastAsia="宋体"/>
                <w:color w:val="auto"/>
                <w:sz w:val="21"/>
                <w:szCs w:val="24"/>
                <w:lang w:val="en-US" w:eastAsia="zh-CN"/>
              </w:rPr>
              <w:t>30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w:t>
            </w:r>
            <w:r>
              <w:rPr>
                <w:rFonts w:hint="eastAsia" w:ascii="Times New Roman" w:hAnsi="Times New Roman" w:eastAsia="宋体"/>
                <w:color w:val="auto"/>
                <w:sz w:val="21"/>
                <w:szCs w:val="24"/>
                <w:lang w:val="en-US" w:eastAsia="zh-CN"/>
              </w:rPr>
              <w:t>4</w:t>
            </w:r>
          </w:p>
        </w:tc>
        <w:tc>
          <w:tcPr>
            <w:tcW w:w="765" w:type="pct"/>
            <w:tcBorders>
              <w:top w:val="nil"/>
              <w:left w:val="nil"/>
              <w:bottom w:val="nil"/>
              <w:right w:val="nil"/>
            </w:tcBorders>
            <w:shd w:val="clear" w:color="auto" w:fill="auto"/>
            <w:vAlign w:val="top"/>
          </w:tcPr>
          <w:p w14:paraId="5146D07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4.81</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0.91</w:t>
            </w:r>
          </w:p>
        </w:tc>
        <w:tc>
          <w:tcPr>
            <w:tcW w:w="765" w:type="pct"/>
            <w:tcBorders>
              <w:top w:val="nil"/>
              <w:left w:val="nil"/>
              <w:bottom w:val="nil"/>
              <w:right w:val="nil"/>
            </w:tcBorders>
            <w:shd w:val="clear" w:color="auto" w:fill="auto"/>
            <w:vAlign w:val="top"/>
          </w:tcPr>
          <w:p w14:paraId="6D6BEEC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5.0</w:t>
            </w:r>
            <w:r>
              <w:rPr>
                <w:rFonts w:hint="eastAsia" w:ascii="Times New Roman" w:hAnsi="Times New Roman" w:eastAsia="宋体"/>
                <w:color w:val="auto"/>
                <w:sz w:val="21"/>
                <w:szCs w:val="24"/>
                <w:lang w:val="en-US" w:eastAsia="zh-CN"/>
              </w:rPr>
              <w:t>6</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0.98</w:t>
            </w:r>
          </w:p>
        </w:tc>
        <w:tc>
          <w:tcPr>
            <w:tcW w:w="366" w:type="pct"/>
            <w:tcBorders>
              <w:top w:val="nil"/>
              <w:left w:val="nil"/>
              <w:bottom w:val="nil"/>
              <w:right w:val="nil"/>
            </w:tcBorders>
            <w:shd w:val="clear" w:color="auto" w:fill="auto"/>
            <w:vAlign w:val="top"/>
          </w:tcPr>
          <w:p w14:paraId="27DFABC4">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1.008</w:t>
            </w:r>
          </w:p>
        </w:tc>
        <w:tc>
          <w:tcPr>
            <w:tcW w:w="366" w:type="pct"/>
            <w:tcBorders>
              <w:top w:val="nil"/>
              <w:left w:val="nil"/>
              <w:bottom w:val="nil"/>
              <w:right w:val="nil"/>
            </w:tcBorders>
            <w:shd w:val="clear" w:color="auto" w:fill="auto"/>
            <w:vAlign w:val="top"/>
          </w:tcPr>
          <w:p w14:paraId="74FD2D56">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0.354</w:t>
            </w:r>
          </w:p>
        </w:tc>
      </w:tr>
      <w:tr w14:paraId="65C6FF46">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07FDBD7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00C4EB7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638" w:type="pct"/>
            <w:tcBorders>
              <w:top w:val="nil"/>
              <w:left w:val="nil"/>
              <w:bottom w:val="nil"/>
              <w:right w:val="nil"/>
            </w:tcBorders>
            <w:shd w:val="clear" w:color="auto" w:fill="auto"/>
            <w:vAlign w:val="center"/>
          </w:tcPr>
          <w:p w14:paraId="6A16E20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75BD1BF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3.8</w:t>
            </w:r>
            <w:r>
              <w:rPr>
                <w:rFonts w:hint="eastAsia" w:ascii="Times New Roman" w:hAnsi="Times New Roman" w:eastAsia="宋体"/>
                <w:color w:val="auto"/>
                <w:sz w:val="21"/>
                <w:szCs w:val="24"/>
                <w:lang w:val="en-US" w:eastAsia="zh-CN"/>
              </w:rPr>
              <w:t>8</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w:t>
            </w:r>
            <w:r>
              <w:rPr>
                <w:rFonts w:hint="eastAsia" w:ascii="Times New Roman" w:hAnsi="Times New Roman" w:eastAsia="宋体"/>
                <w:color w:val="auto"/>
                <w:sz w:val="21"/>
                <w:szCs w:val="24"/>
                <w:lang w:val="en-US" w:eastAsia="zh-CN"/>
              </w:rPr>
              <w:t>1</w:t>
            </w:r>
          </w:p>
        </w:tc>
        <w:tc>
          <w:tcPr>
            <w:tcW w:w="765" w:type="pct"/>
            <w:tcBorders>
              <w:top w:val="nil"/>
              <w:left w:val="nil"/>
              <w:bottom w:val="nil"/>
              <w:right w:val="nil"/>
            </w:tcBorders>
            <w:shd w:val="clear" w:color="auto" w:fill="auto"/>
            <w:vAlign w:val="top"/>
          </w:tcPr>
          <w:p w14:paraId="4CA18D6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lang w:eastAsia="zh-CN"/>
              </w:rPr>
            </w:pPr>
            <w:r>
              <w:rPr>
                <w:rFonts w:hint="eastAsia" w:ascii="Times New Roman" w:hAnsi="Times New Roman" w:eastAsia="宋体"/>
                <w:color w:val="auto"/>
                <w:sz w:val="21"/>
                <w:szCs w:val="24"/>
              </w:rPr>
              <w:t>3.7</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w:t>
            </w:r>
            <w:r>
              <w:rPr>
                <w:rFonts w:hint="eastAsia" w:ascii="Times New Roman" w:hAnsi="Times New Roman" w:eastAsia="宋体"/>
                <w:color w:val="auto"/>
                <w:sz w:val="21"/>
                <w:szCs w:val="24"/>
                <w:lang w:val="en-US" w:eastAsia="zh-CN"/>
              </w:rPr>
              <w:t>70</w:t>
            </w:r>
          </w:p>
        </w:tc>
        <w:tc>
          <w:tcPr>
            <w:tcW w:w="765" w:type="pct"/>
            <w:tcBorders>
              <w:top w:val="nil"/>
              <w:left w:val="nil"/>
              <w:bottom w:val="nil"/>
              <w:right w:val="nil"/>
            </w:tcBorders>
            <w:shd w:val="clear" w:color="auto" w:fill="auto"/>
            <w:vAlign w:val="top"/>
          </w:tcPr>
          <w:p w14:paraId="6AFBDA3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lang w:val="en-US" w:eastAsia="zh-CN"/>
              </w:rPr>
              <w:t>4.00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w:t>
            </w:r>
            <w:r>
              <w:rPr>
                <w:rFonts w:hint="eastAsia" w:ascii="Times New Roman" w:hAnsi="Times New Roman" w:eastAsia="宋体"/>
                <w:color w:val="auto"/>
                <w:sz w:val="21"/>
                <w:szCs w:val="24"/>
                <w:lang w:val="en-US" w:eastAsia="zh-CN"/>
              </w:rPr>
              <w:t>1</w:t>
            </w:r>
          </w:p>
        </w:tc>
        <w:tc>
          <w:tcPr>
            <w:tcW w:w="366" w:type="pct"/>
            <w:tcBorders>
              <w:top w:val="nil"/>
              <w:left w:val="nil"/>
              <w:bottom w:val="nil"/>
              <w:right w:val="nil"/>
            </w:tcBorders>
            <w:shd w:val="clear" w:color="auto" w:fill="auto"/>
            <w:vAlign w:val="top"/>
          </w:tcPr>
          <w:p w14:paraId="52BB3A33">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0.104</w:t>
            </w:r>
          </w:p>
        </w:tc>
        <w:tc>
          <w:tcPr>
            <w:tcW w:w="366" w:type="pct"/>
            <w:tcBorders>
              <w:top w:val="nil"/>
              <w:left w:val="nil"/>
              <w:bottom w:val="nil"/>
              <w:right w:val="nil"/>
            </w:tcBorders>
            <w:shd w:val="clear" w:color="auto" w:fill="auto"/>
            <w:vAlign w:val="top"/>
          </w:tcPr>
          <w:p w14:paraId="662C0301">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0.902</w:t>
            </w:r>
          </w:p>
        </w:tc>
      </w:tr>
      <w:tr w14:paraId="087EABB3">
        <w:tblPrEx>
          <w:tblCellMar>
            <w:top w:w="0" w:type="dxa"/>
            <w:left w:w="108" w:type="dxa"/>
            <w:bottom w:w="0" w:type="dxa"/>
            <w:right w:w="108" w:type="dxa"/>
          </w:tblCellMar>
        </w:tblPrEx>
        <w:trPr>
          <w:trHeight w:val="285" w:hRule="atLeast"/>
          <w:jc w:val="center"/>
        </w:trPr>
        <w:tc>
          <w:tcPr>
            <w:tcW w:w="565" w:type="pct"/>
            <w:vMerge w:val="restart"/>
            <w:tcBorders>
              <w:left w:val="nil"/>
              <w:right w:val="nil"/>
            </w:tcBorders>
            <w:shd w:val="clear" w:color="auto" w:fill="auto"/>
            <w:noWrap/>
            <w:vAlign w:val="center"/>
          </w:tcPr>
          <w:p w14:paraId="539CB810">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ROM</w:t>
            </w:r>
          </w:p>
        </w:tc>
        <w:tc>
          <w:tcPr>
            <w:tcW w:w="765" w:type="pct"/>
            <w:tcBorders>
              <w:top w:val="nil"/>
              <w:left w:val="nil"/>
              <w:bottom w:val="nil"/>
              <w:right w:val="nil"/>
            </w:tcBorders>
            <w:shd w:val="clear" w:color="auto" w:fill="auto"/>
            <w:noWrap/>
            <w:vAlign w:val="center"/>
          </w:tcPr>
          <w:p w14:paraId="2920AF44">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分组前</w:t>
            </w:r>
          </w:p>
        </w:tc>
        <w:tc>
          <w:tcPr>
            <w:tcW w:w="638" w:type="pct"/>
            <w:tcBorders>
              <w:top w:val="nil"/>
              <w:left w:val="nil"/>
              <w:bottom w:val="nil"/>
              <w:right w:val="nil"/>
            </w:tcBorders>
            <w:shd w:val="clear" w:color="auto" w:fill="auto"/>
            <w:vAlign w:val="center"/>
          </w:tcPr>
          <w:p w14:paraId="0E1A26D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CA15D7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8.6</w:t>
            </w:r>
            <w:r>
              <w:rPr>
                <w:rFonts w:hint="eastAsia" w:ascii="Times New Roman" w:hAnsi="Times New Roman" w:eastAsia="宋体"/>
                <w:color w:val="auto"/>
                <w:sz w:val="21"/>
                <w:szCs w:val="24"/>
                <w:lang w:val="en-US" w:eastAsia="zh-CN"/>
              </w:rPr>
              <w:t>3</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0.83</w:t>
            </w:r>
          </w:p>
        </w:tc>
        <w:tc>
          <w:tcPr>
            <w:tcW w:w="765" w:type="pct"/>
            <w:tcBorders>
              <w:top w:val="nil"/>
              <w:left w:val="nil"/>
              <w:bottom w:val="nil"/>
              <w:right w:val="nil"/>
            </w:tcBorders>
            <w:shd w:val="clear" w:color="auto" w:fill="auto"/>
            <w:vAlign w:val="top"/>
          </w:tcPr>
          <w:p w14:paraId="464D74D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8.0</w:t>
            </w:r>
            <w:r>
              <w:rPr>
                <w:rFonts w:hint="eastAsia" w:ascii="Times New Roman" w:hAnsi="Times New Roman" w:eastAsia="宋体"/>
                <w:color w:val="auto"/>
                <w:sz w:val="21"/>
                <w:szCs w:val="24"/>
                <w:lang w:val="en-US" w:eastAsia="zh-CN"/>
              </w:rPr>
              <w:t>9</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0.84</w:t>
            </w:r>
          </w:p>
        </w:tc>
        <w:tc>
          <w:tcPr>
            <w:tcW w:w="765" w:type="pct"/>
            <w:tcBorders>
              <w:top w:val="nil"/>
              <w:left w:val="nil"/>
              <w:bottom w:val="nil"/>
              <w:right w:val="nil"/>
            </w:tcBorders>
            <w:shd w:val="clear" w:color="auto" w:fill="auto"/>
            <w:vAlign w:val="top"/>
          </w:tcPr>
          <w:p w14:paraId="3A385DA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8.27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0.84</w:t>
            </w:r>
          </w:p>
        </w:tc>
        <w:tc>
          <w:tcPr>
            <w:tcW w:w="366" w:type="pct"/>
            <w:tcBorders>
              <w:top w:val="nil"/>
              <w:left w:val="nil"/>
              <w:bottom w:val="nil"/>
              <w:right w:val="nil"/>
            </w:tcBorders>
            <w:shd w:val="clear" w:color="auto" w:fill="auto"/>
            <w:vAlign w:val="top"/>
          </w:tcPr>
          <w:p w14:paraId="22A539CE">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1.055</w:t>
            </w:r>
          </w:p>
        </w:tc>
        <w:tc>
          <w:tcPr>
            <w:tcW w:w="366" w:type="pct"/>
            <w:tcBorders>
              <w:top w:val="nil"/>
              <w:left w:val="nil"/>
              <w:bottom w:val="nil"/>
              <w:right w:val="nil"/>
            </w:tcBorders>
            <w:shd w:val="clear" w:color="auto" w:fill="auto"/>
            <w:vAlign w:val="top"/>
          </w:tcPr>
          <w:p w14:paraId="665A3F58">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0.356</w:t>
            </w:r>
          </w:p>
        </w:tc>
      </w:tr>
      <w:tr w14:paraId="442454B3">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2F64BD5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495B2DA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638" w:type="pct"/>
            <w:tcBorders>
              <w:top w:val="nil"/>
              <w:left w:val="nil"/>
              <w:bottom w:val="nil"/>
              <w:right w:val="nil"/>
            </w:tcBorders>
            <w:shd w:val="clear" w:color="auto" w:fill="auto"/>
            <w:vAlign w:val="center"/>
          </w:tcPr>
          <w:p w14:paraId="7FB1BAF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1B6686B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8.17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0.74</w:t>
            </w:r>
          </w:p>
        </w:tc>
        <w:tc>
          <w:tcPr>
            <w:tcW w:w="765" w:type="pct"/>
            <w:tcBorders>
              <w:top w:val="nil"/>
              <w:left w:val="nil"/>
              <w:bottom w:val="nil"/>
              <w:right w:val="nil"/>
            </w:tcBorders>
            <w:shd w:val="clear" w:color="auto" w:fill="auto"/>
            <w:vAlign w:val="top"/>
          </w:tcPr>
          <w:p w14:paraId="12BCB72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8.8</w:t>
            </w:r>
            <w:r>
              <w:rPr>
                <w:rFonts w:hint="eastAsia" w:ascii="Times New Roman" w:hAnsi="Times New Roman" w:eastAsia="宋体"/>
                <w:color w:val="auto"/>
                <w:sz w:val="21"/>
                <w:szCs w:val="24"/>
                <w:lang w:val="en-US" w:eastAsia="zh-CN"/>
              </w:rPr>
              <w:t>6</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0.85</w:t>
            </w:r>
          </w:p>
        </w:tc>
        <w:tc>
          <w:tcPr>
            <w:tcW w:w="765" w:type="pct"/>
            <w:tcBorders>
              <w:top w:val="nil"/>
              <w:left w:val="nil"/>
              <w:bottom w:val="nil"/>
              <w:right w:val="nil"/>
            </w:tcBorders>
            <w:shd w:val="clear" w:color="auto" w:fill="auto"/>
            <w:vAlign w:val="top"/>
          </w:tcPr>
          <w:p w14:paraId="5B49893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8.2</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0.85</w:t>
            </w:r>
          </w:p>
        </w:tc>
        <w:tc>
          <w:tcPr>
            <w:tcW w:w="366" w:type="pct"/>
            <w:tcBorders>
              <w:top w:val="nil"/>
              <w:left w:val="nil"/>
              <w:bottom w:val="nil"/>
              <w:right w:val="nil"/>
            </w:tcBorders>
            <w:shd w:val="clear" w:color="auto" w:fill="auto"/>
            <w:vAlign w:val="top"/>
          </w:tcPr>
          <w:p w14:paraId="79996242">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1.337</w:t>
            </w:r>
          </w:p>
        </w:tc>
        <w:tc>
          <w:tcPr>
            <w:tcW w:w="366" w:type="pct"/>
            <w:tcBorders>
              <w:top w:val="nil"/>
              <w:left w:val="nil"/>
              <w:bottom w:val="nil"/>
              <w:right w:val="nil"/>
            </w:tcBorders>
            <w:shd w:val="clear" w:color="auto" w:fill="auto"/>
            <w:vAlign w:val="top"/>
          </w:tcPr>
          <w:p w14:paraId="1A8DE1ED">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0.273</w:t>
            </w:r>
          </w:p>
        </w:tc>
      </w:tr>
      <w:tr w14:paraId="3A6080CB">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6EDC119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0151253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638" w:type="pct"/>
            <w:tcBorders>
              <w:top w:val="nil"/>
              <w:left w:val="nil"/>
              <w:bottom w:val="nil"/>
              <w:right w:val="nil"/>
            </w:tcBorders>
            <w:shd w:val="clear" w:color="auto" w:fill="auto"/>
            <w:vAlign w:val="center"/>
          </w:tcPr>
          <w:p w14:paraId="4E3F435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2B879E0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8.15</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1.13</w:t>
            </w:r>
          </w:p>
        </w:tc>
        <w:tc>
          <w:tcPr>
            <w:tcW w:w="765" w:type="pct"/>
            <w:tcBorders>
              <w:top w:val="nil"/>
              <w:left w:val="nil"/>
              <w:bottom w:val="nil"/>
              <w:right w:val="nil"/>
            </w:tcBorders>
            <w:shd w:val="clear" w:color="auto" w:fill="auto"/>
            <w:vAlign w:val="top"/>
          </w:tcPr>
          <w:p w14:paraId="6FE826C7">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7.83</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w:t>
            </w:r>
            <w:r>
              <w:rPr>
                <w:rFonts w:hint="eastAsia" w:ascii="Times New Roman" w:hAnsi="Times New Roman" w:eastAsia="宋体"/>
                <w:color w:val="auto"/>
                <w:sz w:val="21"/>
                <w:szCs w:val="24"/>
                <w:lang w:val="en-US" w:eastAsia="zh-CN"/>
              </w:rPr>
              <w:t>8</w:t>
            </w:r>
          </w:p>
        </w:tc>
        <w:tc>
          <w:tcPr>
            <w:tcW w:w="765" w:type="pct"/>
            <w:tcBorders>
              <w:top w:val="nil"/>
              <w:left w:val="nil"/>
              <w:bottom w:val="nil"/>
              <w:right w:val="nil"/>
            </w:tcBorders>
            <w:shd w:val="clear" w:color="auto" w:fill="auto"/>
            <w:vAlign w:val="top"/>
          </w:tcPr>
          <w:p w14:paraId="35E0B67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7.</w:t>
            </w:r>
            <w:r>
              <w:rPr>
                <w:rFonts w:hint="eastAsia" w:ascii="Times New Roman" w:hAnsi="Times New Roman" w:eastAsia="宋体"/>
                <w:color w:val="auto"/>
                <w:sz w:val="21"/>
                <w:szCs w:val="24"/>
                <w:lang w:val="en-US" w:eastAsia="zh-CN"/>
              </w:rPr>
              <w:t>70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0.99</w:t>
            </w:r>
          </w:p>
        </w:tc>
        <w:tc>
          <w:tcPr>
            <w:tcW w:w="366" w:type="pct"/>
            <w:tcBorders>
              <w:top w:val="nil"/>
              <w:left w:val="nil"/>
              <w:bottom w:val="nil"/>
              <w:right w:val="nil"/>
            </w:tcBorders>
            <w:shd w:val="clear" w:color="auto" w:fill="auto"/>
            <w:vAlign w:val="top"/>
          </w:tcPr>
          <w:p w14:paraId="1C34E1AE">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0.406</w:t>
            </w:r>
          </w:p>
        </w:tc>
        <w:tc>
          <w:tcPr>
            <w:tcW w:w="366" w:type="pct"/>
            <w:tcBorders>
              <w:top w:val="nil"/>
              <w:left w:val="nil"/>
              <w:bottom w:val="nil"/>
              <w:right w:val="nil"/>
            </w:tcBorders>
            <w:shd w:val="clear" w:color="auto" w:fill="auto"/>
            <w:vAlign w:val="top"/>
          </w:tcPr>
          <w:p w14:paraId="5C5BAE13">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0.671</w:t>
            </w:r>
          </w:p>
        </w:tc>
      </w:tr>
      <w:tr w14:paraId="19C98C68">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4DB45F4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0C15EA2E">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638" w:type="pct"/>
            <w:tcBorders>
              <w:top w:val="nil"/>
              <w:left w:val="nil"/>
              <w:bottom w:val="nil"/>
              <w:right w:val="nil"/>
            </w:tcBorders>
            <w:shd w:val="clear" w:color="auto" w:fill="auto"/>
            <w:vAlign w:val="center"/>
          </w:tcPr>
          <w:p w14:paraId="3F6F14C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nil"/>
              <w:right w:val="nil"/>
            </w:tcBorders>
            <w:shd w:val="clear" w:color="auto" w:fill="auto"/>
            <w:noWrap/>
            <w:vAlign w:val="top"/>
          </w:tcPr>
          <w:p w14:paraId="1247A7A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7.68</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0.9</w:t>
            </w:r>
            <w:r>
              <w:rPr>
                <w:rFonts w:hint="eastAsia" w:ascii="Times New Roman" w:hAnsi="Times New Roman" w:eastAsia="宋体"/>
                <w:color w:val="auto"/>
                <w:sz w:val="21"/>
                <w:szCs w:val="24"/>
                <w:lang w:val="en-US" w:eastAsia="zh-CN"/>
              </w:rPr>
              <w:t>7</w:t>
            </w:r>
          </w:p>
        </w:tc>
        <w:tc>
          <w:tcPr>
            <w:tcW w:w="765" w:type="pct"/>
            <w:tcBorders>
              <w:top w:val="nil"/>
              <w:left w:val="nil"/>
              <w:bottom w:val="nil"/>
              <w:right w:val="nil"/>
            </w:tcBorders>
            <w:shd w:val="clear" w:color="auto" w:fill="auto"/>
            <w:vAlign w:val="top"/>
          </w:tcPr>
          <w:p w14:paraId="73B3DC7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8.44</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1.04</w:t>
            </w:r>
          </w:p>
        </w:tc>
        <w:tc>
          <w:tcPr>
            <w:tcW w:w="765" w:type="pct"/>
            <w:tcBorders>
              <w:top w:val="nil"/>
              <w:left w:val="nil"/>
              <w:bottom w:val="nil"/>
              <w:right w:val="nil"/>
            </w:tcBorders>
            <w:shd w:val="clear" w:color="auto" w:fill="auto"/>
            <w:vAlign w:val="top"/>
          </w:tcPr>
          <w:p w14:paraId="1800B88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lang w:eastAsia="zh-CN"/>
              </w:rPr>
            </w:pPr>
            <w:r>
              <w:rPr>
                <w:rFonts w:hint="eastAsia" w:ascii="Times New Roman" w:hAnsi="Times New Roman" w:eastAsia="宋体"/>
                <w:color w:val="auto"/>
                <w:sz w:val="21"/>
                <w:szCs w:val="24"/>
              </w:rPr>
              <w:t>8.0</w:t>
            </w:r>
            <w:r>
              <w:rPr>
                <w:rFonts w:hint="eastAsia" w:ascii="Times New Roman" w:hAnsi="Times New Roman" w:eastAsia="宋体"/>
                <w:color w:val="auto"/>
                <w:sz w:val="21"/>
                <w:szCs w:val="24"/>
                <w:lang w:val="en-US" w:eastAsia="zh-CN"/>
              </w:rPr>
              <w:t>1</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w:t>
            </w:r>
            <w:r>
              <w:rPr>
                <w:rFonts w:hint="eastAsia" w:ascii="Times New Roman" w:hAnsi="Times New Roman" w:eastAsia="宋体"/>
                <w:color w:val="auto"/>
                <w:sz w:val="21"/>
                <w:szCs w:val="24"/>
                <w:lang w:val="en-US" w:eastAsia="zh-CN"/>
              </w:rPr>
              <w:t>10</w:t>
            </w:r>
          </w:p>
        </w:tc>
        <w:tc>
          <w:tcPr>
            <w:tcW w:w="366" w:type="pct"/>
            <w:tcBorders>
              <w:top w:val="nil"/>
              <w:left w:val="nil"/>
              <w:bottom w:val="nil"/>
              <w:right w:val="nil"/>
            </w:tcBorders>
            <w:shd w:val="clear" w:color="auto" w:fill="auto"/>
            <w:vAlign w:val="top"/>
          </w:tcPr>
          <w:p w14:paraId="3D8983E4">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0.746</w:t>
            </w:r>
          </w:p>
        </w:tc>
        <w:tc>
          <w:tcPr>
            <w:tcW w:w="366" w:type="pct"/>
            <w:tcBorders>
              <w:top w:val="nil"/>
              <w:left w:val="nil"/>
              <w:bottom w:val="nil"/>
              <w:right w:val="nil"/>
            </w:tcBorders>
            <w:shd w:val="clear" w:color="auto" w:fill="auto"/>
            <w:vAlign w:val="top"/>
          </w:tcPr>
          <w:p w14:paraId="2772C2B3">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0.486</w:t>
            </w:r>
          </w:p>
        </w:tc>
      </w:tr>
      <w:tr w14:paraId="0C3077E3">
        <w:tblPrEx>
          <w:tblCellMar>
            <w:top w:w="0" w:type="dxa"/>
            <w:left w:w="108" w:type="dxa"/>
            <w:bottom w:w="0" w:type="dxa"/>
            <w:right w:w="108" w:type="dxa"/>
          </w:tblCellMar>
        </w:tblPrEx>
        <w:trPr>
          <w:trHeight w:val="285" w:hRule="atLeast"/>
          <w:jc w:val="center"/>
        </w:trPr>
        <w:tc>
          <w:tcPr>
            <w:tcW w:w="565" w:type="pct"/>
            <w:vMerge w:val="continue"/>
            <w:tcBorders>
              <w:left w:val="nil"/>
              <w:right w:val="nil"/>
            </w:tcBorders>
            <w:shd w:val="clear" w:color="auto" w:fill="auto"/>
            <w:noWrap/>
            <w:vAlign w:val="center"/>
          </w:tcPr>
          <w:p w14:paraId="1D48679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nil"/>
              <w:right w:val="nil"/>
            </w:tcBorders>
            <w:shd w:val="clear" w:color="auto" w:fill="auto"/>
            <w:noWrap/>
            <w:vAlign w:val="center"/>
          </w:tcPr>
          <w:p w14:paraId="3D2FF551">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638" w:type="pct"/>
            <w:tcBorders>
              <w:top w:val="nil"/>
              <w:left w:val="nil"/>
              <w:bottom w:val="nil"/>
              <w:right w:val="nil"/>
            </w:tcBorders>
            <w:shd w:val="clear" w:color="auto" w:fill="auto"/>
            <w:vAlign w:val="center"/>
          </w:tcPr>
          <w:p w14:paraId="2B9574D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765" w:type="pct"/>
            <w:tcBorders>
              <w:top w:val="nil"/>
              <w:left w:val="nil"/>
              <w:bottom w:val="nil"/>
              <w:right w:val="nil"/>
            </w:tcBorders>
            <w:shd w:val="clear" w:color="auto" w:fill="auto"/>
            <w:noWrap/>
            <w:vAlign w:val="top"/>
          </w:tcPr>
          <w:p w14:paraId="78937BE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9.10</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1.2</w:t>
            </w:r>
            <w:r>
              <w:rPr>
                <w:rFonts w:hint="eastAsia" w:ascii="Times New Roman" w:hAnsi="Times New Roman" w:eastAsia="宋体"/>
                <w:color w:val="auto"/>
                <w:sz w:val="21"/>
                <w:szCs w:val="24"/>
                <w:lang w:val="en-US" w:eastAsia="zh-CN"/>
              </w:rPr>
              <w:t>2</w:t>
            </w:r>
          </w:p>
        </w:tc>
        <w:tc>
          <w:tcPr>
            <w:tcW w:w="765" w:type="pct"/>
            <w:tcBorders>
              <w:top w:val="nil"/>
              <w:left w:val="nil"/>
              <w:bottom w:val="nil"/>
              <w:right w:val="nil"/>
            </w:tcBorders>
            <w:shd w:val="clear" w:color="auto" w:fill="auto"/>
            <w:vAlign w:val="top"/>
          </w:tcPr>
          <w:p w14:paraId="66408E4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8.3</w:t>
            </w:r>
            <w:r>
              <w:rPr>
                <w:rFonts w:hint="eastAsia" w:ascii="Times New Roman" w:hAnsi="Times New Roman" w:eastAsia="宋体"/>
                <w:color w:val="auto"/>
                <w:sz w:val="21"/>
                <w:szCs w:val="24"/>
                <w:lang w:val="en-US" w:eastAsia="zh-CN"/>
              </w:rPr>
              <w:t>5</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1.338</w:t>
            </w:r>
          </w:p>
        </w:tc>
        <w:tc>
          <w:tcPr>
            <w:tcW w:w="765" w:type="pct"/>
            <w:tcBorders>
              <w:top w:val="nil"/>
              <w:left w:val="nil"/>
              <w:bottom w:val="nil"/>
              <w:right w:val="nil"/>
            </w:tcBorders>
            <w:shd w:val="clear" w:color="auto" w:fill="auto"/>
            <w:vAlign w:val="top"/>
          </w:tcPr>
          <w:p w14:paraId="04A2DC7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8.84</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1.33</w:t>
            </w:r>
          </w:p>
        </w:tc>
        <w:tc>
          <w:tcPr>
            <w:tcW w:w="366" w:type="pct"/>
            <w:tcBorders>
              <w:top w:val="nil"/>
              <w:left w:val="nil"/>
              <w:bottom w:val="nil"/>
              <w:right w:val="nil"/>
            </w:tcBorders>
            <w:shd w:val="clear" w:color="auto" w:fill="auto"/>
            <w:vAlign w:val="top"/>
          </w:tcPr>
          <w:p w14:paraId="3807F846">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0.994</w:t>
            </w:r>
          </w:p>
        </w:tc>
        <w:tc>
          <w:tcPr>
            <w:tcW w:w="366" w:type="pct"/>
            <w:tcBorders>
              <w:top w:val="nil"/>
              <w:left w:val="nil"/>
              <w:bottom w:val="nil"/>
              <w:right w:val="nil"/>
            </w:tcBorders>
            <w:shd w:val="clear" w:color="auto" w:fill="auto"/>
            <w:vAlign w:val="top"/>
          </w:tcPr>
          <w:p w14:paraId="15D47C0A">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0.385</w:t>
            </w:r>
          </w:p>
        </w:tc>
      </w:tr>
      <w:tr w14:paraId="226E54AF">
        <w:tblPrEx>
          <w:tblCellMar>
            <w:top w:w="0" w:type="dxa"/>
            <w:left w:w="108" w:type="dxa"/>
            <w:bottom w:w="0" w:type="dxa"/>
            <w:right w:w="108" w:type="dxa"/>
          </w:tblCellMar>
        </w:tblPrEx>
        <w:trPr>
          <w:trHeight w:val="285" w:hRule="atLeast"/>
          <w:jc w:val="center"/>
        </w:trPr>
        <w:tc>
          <w:tcPr>
            <w:tcW w:w="565" w:type="pct"/>
            <w:vMerge w:val="continue"/>
            <w:tcBorders>
              <w:left w:val="nil"/>
              <w:bottom w:val="single" w:color="000000" w:sz="8" w:space="0"/>
              <w:right w:val="nil"/>
            </w:tcBorders>
            <w:shd w:val="clear" w:color="auto" w:fill="auto"/>
            <w:noWrap/>
            <w:vAlign w:val="center"/>
          </w:tcPr>
          <w:p w14:paraId="06E0930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65" w:type="pct"/>
            <w:tcBorders>
              <w:top w:val="nil"/>
              <w:left w:val="nil"/>
              <w:bottom w:val="single" w:color="000000" w:sz="8" w:space="0"/>
              <w:right w:val="nil"/>
            </w:tcBorders>
            <w:shd w:val="clear" w:color="auto" w:fill="auto"/>
            <w:noWrap/>
            <w:vAlign w:val="center"/>
          </w:tcPr>
          <w:p w14:paraId="1911994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638" w:type="pct"/>
            <w:tcBorders>
              <w:top w:val="nil"/>
              <w:left w:val="nil"/>
              <w:bottom w:val="single" w:color="000000" w:sz="8" w:space="0"/>
              <w:right w:val="nil"/>
            </w:tcBorders>
            <w:shd w:val="clear" w:color="auto" w:fill="auto"/>
            <w:vAlign w:val="center"/>
          </w:tcPr>
          <w:p w14:paraId="0049D1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765" w:type="pct"/>
            <w:tcBorders>
              <w:top w:val="nil"/>
              <w:left w:val="nil"/>
              <w:bottom w:val="single" w:color="000000" w:sz="8" w:space="0"/>
              <w:right w:val="nil"/>
            </w:tcBorders>
            <w:shd w:val="clear" w:color="auto" w:fill="auto"/>
            <w:noWrap/>
            <w:vAlign w:val="top"/>
          </w:tcPr>
          <w:p w14:paraId="3FF4951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8.6</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1.1</w:t>
            </w:r>
            <w:r>
              <w:rPr>
                <w:rFonts w:hint="eastAsia" w:ascii="Times New Roman" w:hAnsi="Times New Roman" w:eastAsia="宋体"/>
                <w:color w:val="auto"/>
                <w:sz w:val="21"/>
                <w:szCs w:val="24"/>
                <w:lang w:val="en-US" w:eastAsia="zh-CN"/>
              </w:rPr>
              <w:t>2</w:t>
            </w:r>
          </w:p>
        </w:tc>
        <w:tc>
          <w:tcPr>
            <w:tcW w:w="765" w:type="pct"/>
            <w:tcBorders>
              <w:top w:val="nil"/>
              <w:left w:val="nil"/>
              <w:bottom w:val="single" w:color="000000" w:sz="8" w:space="0"/>
              <w:right w:val="nil"/>
            </w:tcBorders>
            <w:shd w:val="clear" w:color="auto" w:fill="auto"/>
            <w:vAlign w:val="top"/>
          </w:tcPr>
          <w:p w14:paraId="699F5F5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9.2</w:t>
            </w:r>
            <w:r>
              <w:rPr>
                <w:rFonts w:hint="eastAsia" w:ascii="Times New Roman" w:hAnsi="Times New Roman" w:eastAsia="宋体"/>
                <w:color w:val="auto"/>
                <w:sz w:val="21"/>
                <w:szCs w:val="24"/>
                <w:lang w:val="en-US" w:eastAsia="zh-CN"/>
              </w:rPr>
              <w:t>7</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1.3</w:t>
            </w:r>
            <w:r>
              <w:rPr>
                <w:rFonts w:hint="eastAsia" w:ascii="Times New Roman" w:hAnsi="Times New Roman" w:eastAsia="宋体"/>
                <w:color w:val="auto"/>
                <w:sz w:val="21"/>
                <w:szCs w:val="24"/>
                <w:lang w:val="en-US" w:eastAsia="zh-CN"/>
              </w:rPr>
              <w:t>0</w:t>
            </w:r>
          </w:p>
        </w:tc>
        <w:tc>
          <w:tcPr>
            <w:tcW w:w="765" w:type="pct"/>
            <w:tcBorders>
              <w:top w:val="nil"/>
              <w:left w:val="nil"/>
              <w:bottom w:val="single" w:color="000000" w:sz="8" w:space="0"/>
              <w:right w:val="nil"/>
            </w:tcBorders>
            <w:shd w:val="clear" w:color="auto" w:fill="auto"/>
            <w:vAlign w:val="top"/>
          </w:tcPr>
          <w:p w14:paraId="34CBC53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rPr>
              <w:t>8.53</w:t>
            </w:r>
            <w:r>
              <w:rPr>
                <w:rFonts w:hint="eastAsia" w:ascii="Times New Roman" w:hAnsi="Times New Roman" w:eastAsia="宋体"/>
                <w:color w:val="auto"/>
                <w:sz w:val="21"/>
                <w:szCs w:val="24"/>
                <w:lang w:eastAsia="zh-CN"/>
              </w:rPr>
              <w:t>±</w:t>
            </w:r>
            <w:r>
              <w:rPr>
                <w:rFonts w:hint="eastAsia" w:ascii="Times New Roman" w:hAnsi="Times New Roman" w:eastAsia="宋体"/>
                <w:color w:val="auto"/>
                <w:sz w:val="21"/>
                <w:szCs w:val="24"/>
              </w:rPr>
              <w:t>1.29</w:t>
            </w:r>
          </w:p>
        </w:tc>
        <w:tc>
          <w:tcPr>
            <w:tcW w:w="366" w:type="pct"/>
            <w:tcBorders>
              <w:top w:val="nil"/>
              <w:left w:val="nil"/>
              <w:bottom w:val="single" w:color="000000" w:sz="8" w:space="0"/>
              <w:right w:val="nil"/>
            </w:tcBorders>
            <w:shd w:val="clear" w:color="auto" w:fill="auto"/>
            <w:vAlign w:val="top"/>
          </w:tcPr>
          <w:p w14:paraId="417F942F">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0.735</w:t>
            </w:r>
          </w:p>
        </w:tc>
        <w:tc>
          <w:tcPr>
            <w:tcW w:w="366" w:type="pct"/>
            <w:tcBorders>
              <w:top w:val="nil"/>
              <w:left w:val="nil"/>
              <w:bottom w:val="single" w:color="000000" w:sz="8" w:space="0"/>
              <w:right w:val="nil"/>
            </w:tcBorders>
            <w:shd w:val="clear" w:color="auto" w:fill="auto"/>
            <w:vAlign w:val="top"/>
          </w:tcPr>
          <w:p w14:paraId="0DC39188">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rPr>
              <w:t>0.49</w:t>
            </w:r>
            <w:r>
              <w:rPr>
                <w:rFonts w:hint="eastAsia" w:ascii="Times New Roman" w:hAnsi="Times New Roman" w:eastAsia="宋体"/>
                <w:color w:val="auto"/>
                <w:sz w:val="21"/>
                <w:szCs w:val="24"/>
                <w:lang w:val="en-US" w:eastAsia="zh-CN"/>
              </w:rPr>
              <w:t>0</w:t>
            </w:r>
          </w:p>
        </w:tc>
      </w:tr>
    </w:tbl>
    <w:p w14:paraId="29D42DF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kern w:val="0"/>
          <w:sz w:val="21"/>
          <w:szCs w:val="24"/>
        </w:rPr>
      </w:pPr>
    </w:p>
    <w:p w14:paraId="45042B2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kern w:val="0"/>
          <w:sz w:val="21"/>
          <w:szCs w:val="24"/>
        </w:rPr>
      </w:pPr>
      <w:r>
        <w:rPr>
          <w:rFonts w:ascii="Times New Roman" w:hAnsi="Times New Roman" w:eastAsia="宋体"/>
          <w:b/>
          <w:bCs/>
          <w:color w:val="auto"/>
          <w:kern w:val="0"/>
          <w:sz w:val="21"/>
          <w:szCs w:val="24"/>
        </w:rPr>
        <w:t>表</w:t>
      </w:r>
      <w:r>
        <w:rPr>
          <w:rFonts w:hint="eastAsia" w:ascii="Times New Roman" w:hAnsi="Times New Roman" w:eastAsia="宋体"/>
          <w:b/>
          <w:bCs/>
          <w:color w:val="auto"/>
          <w:kern w:val="0"/>
          <w:sz w:val="21"/>
          <w:szCs w:val="24"/>
        </w:rPr>
        <w:t>6</w:t>
      </w:r>
      <w:r>
        <w:rPr>
          <w:rFonts w:ascii="Times New Roman" w:hAnsi="Times New Roman" w:eastAsia="宋体"/>
          <w:color w:val="auto"/>
          <w:kern w:val="0"/>
          <w:sz w:val="21"/>
          <w:szCs w:val="24"/>
        </w:rPr>
        <w:t xml:space="preserve"> </w:t>
      </w:r>
      <w:r>
        <w:rPr>
          <w:rFonts w:hint="eastAsia" w:ascii="Times New Roman" w:hAnsi="Times New Roman" w:eastAsia="宋体"/>
          <w:color w:val="auto"/>
          <w:kern w:val="0"/>
          <w:sz w:val="21"/>
          <w:szCs w:val="24"/>
          <w:lang w:val="en-US" w:eastAsia="zh-CN"/>
        </w:rPr>
        <w:t xml:space="preserve"> </w:t>
      </w:r>
      <w:r>
        <w:rPr>
          <w:rFonts w:ascii="Times New Roman" w:hAnsi="Times New Roman" w:eastAsia="宋体"/>
          <w:color w:val="auto"/>
          <w:kern w:val="0"/>
          <w:sz w:val="21"/>
          <w:szCs w:val="24"/>
        </w:rPr>
        <w:t xml:space="preserve"> 骨盆X轴和Z轴各指标的重复测量方差分析结果</w:t>
      </w:r>
    </w:p>
    <w:tbl>
      <w:tblPr>
        <w:tblStyle w:val="10"/>
        <w:tblW w:w="4996" w:type="pct"/>
        <w:jc w:val="center"/>
        <w:tblLayout w:type="autofit"/>
        <w:tblCellMar>
          <w:top w:w="0" w:type="dxa"/>
          <w:left w:w="108" w:type="dxa"/>
          <w:bottom w:w="0" w:type="dxa"/>
          <w:right w:w="108" w:type="dxa"/>
        </w:tblCellMar>
      </w:tblPr>
      <w:tblGrid>
        <w:gridCol w:w="1267"/>
        <w:gridCol w:w="1432"/>
        <w:gridCol w:w="1575"/>
        <w:gridCol w:w="1078"/>
        <w:gridCol w:w="935"/>
        <w:gridCol w:w="1078"/>
        <w:gridCol w:w="935"/>
        <w:gridCol w:w="935"/>
      </w:tblGrid>
      <w:tr w14:paraId="5631A44C">
        <w:tblPrEx>
          <w:tblCellMar>
            <w:top w:w="0" w:type="dxa"/>
            <w:left w:w="108" w:type="dxa"/>
            <w:bottom w:w="0" w:type="dxa"/>
            <w:right w:w="108" w:type="dxa"/>
          </w:tblCellMar>
        </w:tblPrEx>
        <w:trPr>
          <w:trHeight w:val="285" w:hRule="atLeast"/>
          <w:jc w:val="center"/>
        </w:trPr>
        <w:tc>
          <w:tcPr>
            <w:tcW w:w="686" w:type="pct"/>
            <w:tcBorders>
              <w:top w:val="single" w:color="000000" w:sz="8" w:space="0"/>
              <w:left w:val="nil"/>
              <w:bottom w:val="single" w:color="000000" w:sz="8" w:space="0"/>
              <w:right w:val="nil"/>
            </w:tcBorders>
            <w:shd w:val="clear" w:color="auto" w:fill="auto"/>
          </w:tcPr>
          <w:p w14:paraId="4BF815D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top"/>
              <w:rPr>
                <w:rFonts w:hint="eastAsia" w:ascii="Times New Roman" w:hAnsi="Times New Roman" w:eastAsia="宋体"/>
                <w:color w:val="auto"/>
                <w:sz w:val="21"/>
                <w:szCs w:val="24"/>
                <w:lang w:eastAsia="zh-CN"/>
              </w:rPr>
            </w:pPr>
            <w:r>
              <w:rPr>
                <w:rFonts w:hint="eastAsia" w:ascii="Times New Roman" w:hAnsi="Times New Roman" w:eastAsia="宋体"/>
                <w:color w:val="auto"/>
                <w:kern w:val="0"/>
                <w:sz w:val="21"/>
                <w:szCs w:val="24"/>
                <w:lang w:val="en-US" w:eastAsia="zh-CN" w:bidi="ar"/>
              </w:rPr>
              <w:t>变量</w:t>
            </w:r>
          </w:p>
        </w:tc>
        <w:tc>
          <w:tcPr>
            <w:tcW w:w="775" w:type="pct"/>
            <w:tcBorders>
              <w:top w:val="single" w:color="000000" w:sz="8" w:space="0"/>
              <w:left w:val="nil"/>
              <w:bottom w:val="single" w:color="000000" w:sz="8" w:space="0"/>
              <w:right w:val="nil"/>
            </w:tcBorders>
            <w:shd w:val="clear" w:color="auto" w:fill="auto"/>
          </w:tcPr>
          <w:p w14:paraId="54FD1A1B">
            <w:pPr>
              <w:keepNext w:val="0"/>
              <w:keepLines w:val="0"/>
              <w:pageBreakBefore w:val="0"/>
              <w:kinsoku/>
              <w:wordWrap/>
              <w:overflowPunct/>
              <w:topLinePunct w:val="0"/>
              <w:autoSpaceDE/>
              <w:autoSpaceDN/>
              <w:bidi w:val="0"/>
              <w:adjustRightInd/>
              <w:snapToGrid/>
              <w:spacing w:line="360" w:lineRule="auto"/>
              <w:rPr>
                <w:rFonts w:ascii="Times New Roman" w:hAnsi="Times New Roman" w:eastAsia="宋体"/>
              </w:rPr>
            </w:pPr>
            <w:r>
              <w:rPr>
                <w:rFonts w:hint="eastAsia" w:ascii="Times New Roman" w:hAnsi="Times New Roman" w:eastAsia="宋体"/>
                <w:color w:val="auto"/>
                <w:kern w:val="0"/>
                <w:sz w:val="21"/>
                <w:szCs w:val="24"/>
                <w:lang w:val="en-US" w:eastAsia="zh-CN" w:bidi="ar"/>
              </w:rPr>
              <w:t>侧别</w:t>
            </w:r>
          </w:p>
        </w:tc>
        <w:tc>
          <w:tcPr>
            <w:tcW w:w="852" w:type="pct"/>
            <w:tcBorders>
              <w:top w:val="single" w:color="000000" w:sz="8" w:space="0"/>
              <w:left w:val="nil"/>
              <w:bottom w:val="single" w:color="000000" w:sz="8" w:space="0"/>
              <w:right w:val="nil"/>
            </w:tcBorders>
            <w:shd w:val="clear" w:color="auto" w:fill="auto"/>
          </w:tcPr>
          <w:p w14:paraId="7CCDDBD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olor w:val="auto"/>
                <w:sz w:val="21"/>
                <w:szCs w:val="24"/>
                <w:lang w:val="en-US" w:eastAsia="zh-CN"/>
              </w:rPr>
            </w:pPr>
            <w:r>
              <w:rPr>
                <w:rFonts w:hint="default" w:ascii="Times New Roman" w:hAnsi="Times New Roman" w:eastAsia="宋体"/>
                <w:color w:val="auto"/>
                <w:kern w:val="0"/>
                <w:szCs w:val="24"/>
                <w:lang w:val="en-US" w:eastAsia="zh-CN" w:bidi="ar"/>
              </w:rPr>
              <w:t>变异来源</w:t>
            </w:r>
          </w:p>
        </w:tc>
        <w:tc>
          <w:tcPr>
            <w:tcW w:w="583" w:type="pct"/>
            <w:tcBorders>
              <w:top w:val="single" w:color="000000" w:sz="8" w:space="0"/>
              <w:left w:val="nil"/>
              <w:bottom w:val="single" w:color="000000" w:sz="8" w:space="0"/>
              <w:right w:val="nil"/>
            </w:tcBorders>
            <w:shd w:val="clear" w:color="auto" w:fill="auto"/>
          </w:tcPr>
          <w:p w14:paraId="0076E07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olor w:val="auto"/>
                <w:sz w:val="21"/>
                <w:szCs w:val="24"/>
                <w:lang w:val="en-US" w:eastAsia="zh-CN"/>
              </w:rPr>
            </w:pPr>
            <w:r>
              <w:rPr>
                <w:rFonts w:hint="eastAsia" w:ascii="Times New Roman" w:hAnsi="Times New Roman" w:eastAsia="宋体"/>
                <w:i/>
                <w:iCs/>
                <w:color w:val="auto"/>
                <w:kern w:val="0"/>
                <w:sz w:val="21"/>
                <w:szCs w:val="24"/>
                <w:lang w:val="en-US" w:eastAsia="zh-CN" w:bidi="ar"/>
              </w:rPr>
              <w:t>SS</w:t>
            </w:r>
          </w:p>
        </w:tc>
        <w:tc>
          <w:tcPr>
            <w:tcW w:w="506" w:type="pct"/>
            <w:tcBorders>
              <w:top w:val="single" w:color="000000" w:sz="8" w:space="0"/>
              <w:left w:val="nil"/>
              <w:bottom w:val="single" w:color="000000" w:sz="8" w:space="0"/>
              <w:right w:val="nil"/>
            </w:tcBorders>
            <w:shd w:val="clear" w:color="auto" w:fill="auto"/>
          </w:tcPr>
          <w:p w14:paraId="6B8DA1F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hint="eastAsia" w:ascii="Times New Roman" w:hAnsi="Times New Roman" w:eastAsia="宋体"/>
                <w:color w:val="auto"/>
                <w:kern w:val="0"/>
                <w:sz w:val="21"/>
                <w:szCs w:val="24"/>
                <w:lang w:val="en-US" w:eastAsia="zh-CN" w:bidi="ar"/>
              </w:rPr>
              <w:t>df</w:t>
            </w:r>
          </w:p>
        </w:tc>
        <w:tc>
          <w:tcPr>
            <w:tcW w:w="583" w:type="pct"/>
            <w:tcBorders>
              <w:top w:val="single" w:color="000000" w:sz="8" w:space="0"/>
              <w:left w:val="nil"/>
              <w:bottom w:val="single" w:color="000000" w:sz="8" w:space="0"/>
              <w:right w:val="nil"/>
            </w:tcBorders>
            <w:shd w:val="clear" w:color="auto" w:fill="auto"/>
          </w:tcPr>
          <w:p w14:paraId="338BB38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olor w:val="auto"/>
                <w:sz w:val="21"/>
                <w:szCs w:val="24"/>
                <w:lang w:val="en-US" w:eastAsia="zh-CN"/>
              </w:rPr>
            </w:pPr>
            <w:r>
              <w:rPr>
                <w:rFonts w:hint="eastAsia" w:ascii="Times New Roman" w:hAnsi="Times New Roman" w:eastAsia="宋体"/>
                <w:i/>
                <w:iCs/>
                <w:color w:val="auto"/>
                <w:kern w:val="0"/>
                <w:sz w:val="21"/>
                <w:szCs w:val="24"/>
                <w:lang w:val="en-US" w:eastAsia="zh-CN" w:bidi="ar"/>
              </w:rPr>
              <w:t>MS</w:t>
            </w:r>
          </w:p>
        </w:tc>
        <w:tc>
          <w:tcPr>
            <w:tcW w:w="506" w:type="pct"/>
            <w:tcBorders>
              <w:top w:val="single" w:color="000000" w:sz="8" w:space="0"/>
              <w:left w:val="nil"/>
              <w:bottom w:val="single" w:color="000000" w:sz="8" w:space="0"/>
              <w:right w:val="nil"/>
            </w:tcBorders>
            <w:shd w:val="clear" w:color="auto" w:fill="auto"/>
          </w:tcPr>
          <w:p w14:paraId="117276B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i/>
                <w:iCs/>
                <w:color w:val="auto"/>
                <w:sz w:val="21"/>
                <w:szCs w:val="24"/>
              </w:rPr>
            </w:pPr>
            <w:r>
              <w:rPr>
                <w:rFonts w:ascii="Times New Roman" w:hAnsi="Times New Roman" w:eastAsia="宋体"/>
                <w:i/>
                <w:iCs/>
                <w:color w:val="auto"/>
                <w:kern w:val="0"/>
                <w:sz w:val="21"/>
                <w:szCs w:val="24"/>
                <w:lang w:bidi="ar"/>
              </w:rPr>
              <w:t>F</w:t>
            </w:r>
            <w:r>
              <w:rPr>
                <w:rFonts w:ascii="Times New Roman" w:hAnsi="Times New Roman" w:eastAsia="宋体"/>
                <w:color w:val="auto"/>
                <w:kern w:val="0"/>
                <w:sz w:val="21"/>
                <w:szCs w:val="24"/>
                <w:lang w:bidi="ar"/>
              </w:rPr>
              <w:t>值</w:t>
            </w:r>
          </w:p>
        </w:tc>
        <w:tc>
          <w:tcPr>
            <w:tcW w:w="506" w:type="pct"/>
            <w:tcBorders>
              <w:top w:val="single" w:color="000000" w:sz="8" w:space="0"/>
              <w:left w:val="nil"/>
              <w:bottom w:val="single" w:color="000000" w:sz="8" w:space="0"/>
              <w:right w:val="nil"/>
            </w:tcBorders>
            <w:shd w:val="clear" w:color="auto" w:fill="auto"/>
          </w:tcPr>
          <w:p w14:paraId="6F421BC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i/>
                <w:iCs/>
                <w:color w:val="auto"/>
                <w:sz w:val="21"/>
                <w:szCs w:val="24"/>
              </w:rPr>
            </w:pPr>
            <w:r>
              <w:rPr>
                <w:rFonts w:ascii="Times New Roman" w:hAnsi="Times New Roman" w:eastAsia="宋体"/>
                <w:i/>
                <w:iCs/>
                <w:color w:val="auto"/>
                <w:kern w:val="0"/>
                <w:sz w:val="21"/>
                <w:szCs w:val="24"/>
                <w:lang w:bidi="ar"/>
              </w:rPr>
              <w:t>P</w:t>
            </w:r>
            <w:r>
              <w:rPr>
                <w:rFonts w:ascii="Times New Roman" w:hAnsi="Times New Roman" w:eastAsia="宋体"/>
                <w:color w:val="auto"/>
                <w:kern w:val="0"/>
                <w:sz w:val="21"/>
                <w:szCs w:val="24"/>
                <w:lang w:bidi="ar"/>
              </w:rPr>
              <w:t>值</w:t>
            </w:r>
          </w:p>
        </w:tc>
      </w:tr>
      <w:tr w14:paraId="5AFF3E93">
        <w:tblPrEx>
          <w:tblCellMar>
            <w:top w:w="0" w:type="dxa"/>
            <w:left w:w="108" w:type="dxa"/>
            <w:bottom w:w="0" w:type="dxa"/>
            <w:right w:w="108" w:type="dxa"/>
          </w:tblCellMar>
        </w:tblPrEx>
        <w:trPr>
          <w:trHeight w:val="270" w:hRule="atLeast"/>
          <w:jc w:val="center"/>
        </w:trPr>
        <w:tc>
          <w:tcPr>
            <w:tcW w:w="686" w:type="pct"/>
            <w:vMerge w:val="restart"/>
            <w:tcBorders>
              <w:top w:val="nil"/>
              <w:left w:val="nil"/>
              <w:bottom w:val="nil"/>
              <w:right w:val="nil"/>
            </w:tcBorders>
            <w:shd w:val="clear" w:color="auto" w:fill="auto"/>
            <w:noWrap/>
            <w:vAlign w:val="center"/>
          </w:tcPr>
          <w:p w14:paraId="4978D831">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w:t>
            </w:r>
          </w:p>
        </w:tc>
        <w:tc>
          <w:tcPr>
            <w:tcW w:w="775" w:type="pct"/>
            <w:vMerge w:val="restart"/>
            <w:tcBorders>
              <w:top w:val="nil"/>
              <w:left w:val="nil"/>
              <w:bottom w:val="nil"/>
              <w:right w:val="nil"/>
            </w:tcBorders>
            <w:shd w:val="clear" w:color="auto" w:fill="auto"/>
            <w:noWrap/>
            <w:vAlign w:val="center"/>
          </w:tcPr>
          <w:p w14:paraId="3C0AAECF">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tcPr>
          <w:p w14:paraId="00E1215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57C85D1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8.</w:t>
            </w:r>
            <w:r>
              <w:rPr>
                <w:rFonts w:hint="eastAsia" w:ascii="Times New Roman" w:hAnsi="Times New Roman" w:eastAsia="宋体" w:cs="宋体"/>
                <w:color w:val="auto"/>
                <w:kern w:val="0"/>
                <w:sz w:val="21"/>
                <w:szCs w:val="24"/>
                <w:lang w:bidi="ar"/>
              </w:rPr>
              <w:t>084</w:t>
            </w:r>
          </w:p>
        </w:tc>
        <w:tc>
          <w:tcPr>
            <w:tcW w:w="506" w:type="pct"/>
            <w:tcBorders>
              <w:top w:val="nil"/>
              <w:left w:val="nil"/>
              <w:bottom w:val="nil"/>
              <w:right w:val="nil"/>
            </w:tcBorders>
            <w:shd w:val="clear" w:color="auto" w:fill="auto"/>
            <w:noWrap/>
            <w:vAlign w:val="center"/>
          </w:tcPr>
          <w:p w14:paraId="3CA849C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1F23E18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042</w:t>
            </w:r>
          </w:p>
        </w:tc>
        <w:tc>
          <w:tcPr>
            <w:tcW w:w="506" w:type="pct"/>
            <w:tcBorders>
              <w:top w:val="nil"/>
              <w:left w:val="nil"/>
              <w:bottom w:val="nil"/>
              <w:right w:val="nil"/>
            </w:tcBorders>
            <w:shd w:val="clear" w:color="auto" w:fill="auto"/>
            <w:noWrap/>
            <w:vAlign w:val="center"/>
          </w:tcPr>
          <w:p w14:paraId="3E8F469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295</w:t>
            </w:r>
          </w:p>
        </w:tc>
        <w:tc>
          <w:tcPr>
            <w:tcW w:w="506" w:type="pct"/>
            <w:tcBorders>
              <w:top w:val="nil"/>
              <w:left w:val="nil"/>
              <w:bottom w:val="nil"/>
              <w:right w:val="nil"/>
            </w:tcBorders>
            <w:shd w:val="clear" w:color="auto" w:fill="auto"/>
            <w:noWrap/>
            <w:vAlign w:val="center"/>
          </w:tcPr>
          <w:p w14:paraId="1993ED3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046</w:t>
            </w:r>
          </w:p>
        </w:tc>
      </w:tr>
      <w:tr w14:paraId="497A484E">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0D107C1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4C74A33E">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31A7602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7D20C82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4</w:t>
            </w: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341</w:t>
            </w:r>
          </w:p>
        </w:tc>
        <w:tc>
          <w:tcPr>
            <w:tcW w:w="506" w:type="pct"/>
            <w:tcBorders>
              <w:top w:val="nil"/>
              <w:left w:val="nil"/>
              <w:bottom w:val="nil"/>
              <w:right w:val="nil"/>
            </w:tcBorders>
            <w:shd w:val="clear" w:color="auto" w:fill="auto"/>
            <w:noWrap/>
            <w:vAlign w:val="center"/>
          </w:tcPr>
          <w:p w14:paraId="6DAC6AE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0A8DB9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4</w:t>
            </w: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341</w:t>
            </w:r>
          </w:p>
        </w:tc>
        <w:tc>
          <w:tcPr>
            <w:tcW w:w="506" w:type="pct"/>
            <w:tcBorders>
              <w:top w:val="nil"/>
              <w:left w:val="nil"/>
              <w:bottom w:val="nil"/>
              <w:right w:val="nil"/>
            </w:tcBorders>
            <w:shd w:val="clear" w:color="auto" w:fill="auto"/>
            <w:noWrap/>
            <w:vAlign w:val="center"/>
          </w:tcPr>
          <w:p w14:paraId="7A11082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425</w:t>
            </w:r>
          </w:p>
        </w:tc>
        <w:tc>
          <w:tcPr>
            <w:tcW w:w="506" w:type="pct"/>
            <w:tcBorders>
              <w:top w:val="nil"/>
              <w:left w:val="nil"/>
              <w:bottom w:val="nil"/>
              <w:right w:val="nil"/>
            </w:tcBorders>
            <w:shd w:val="clear" w:color="auto" w:fill="auto"/>
            <w:noWrap/>
            <w:vAlign w:val="center"/>
          </w:tcPr>
          <w:p w14:paraId="7A73D9D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521</w:t>
            </w:r>
          </w:p>
        </w:tc>
      </w:tr>
      <w:tr w14:paraId="7ECE00FB">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7334C1C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49FA1F1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1B88B49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6685C86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473</w:t>
            </w:r>
          </w:p>
        </w:tc>
        <w:tc>
          <w:tcPr>
            <w:tcW w:w="506" w:type="pct"/>
            <w:tcBorders>
              <w:top w:val="nil"/>
              <w:left w:val="nil"/>
              <w:bottom w:val="nil"/>
              <w:right w:val="nil"/>
            </w:tcBorders>
            <w:shd w:val="clear" w:color="auto" w:fill="auto"/>
            <w:noWrap/>
            <w:vAlign w:val="center"/>
          </w:tcPr>
          <w:p w14:paraId="3565B0F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1942F19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5.</w:t>
            </w:r>
            <w:r>
              <w:rPr>
                <w:rFonts w:hint="eastAsia" w:ascii="Times New Roman" w:hAnsi="Times New Roman" w:eastAsia="宋体" w:cs="宋体"/>
                <w:color w:val="auto"/>
                <w:kern w:val="0"/>
                <w:sz w:val="21"/>
                <w:szCs w:val="24"/>
                <w:lang w:bidi="ar"/>
              </w:rPr>
              <w:t>737</w:t>
            </w:r>
          </w:p>
        </w:tc>
        <w:tc>
          <w:tcPr>
            <w:tcW w:w="506" w:type="pct"/>
            <w:tcBorders>
              <w:top w:val="nil"/>
              <w:left w:val="nil"/>
              <w:bottom w:val="nil"/>
              <w:right w:val="nil"/>
            </w:tcBorders>
            <w:shd w:val="clear" w:color="auto" w:fill="auto"/>
            <w:noWrap/>
            <w:vAlign w:val="center"/>
          </w:tcPr>
          <w:p w14:paraId="383BCD8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677</w:t>
            </w:r>
          </w:p>
        </w:tc>
        <w:tc>
          <w:tcPr>
            <w:tcW w:w="506" w:type="pct"/>
            <w:tcBorders>
              <w:top w:val="nil"/>
              <w:left w:val="nil"/>
              <w:bottom w:val="nil"/>
              <w:right w:val="nil"/>
            </w:tcBorders>
            <w:shd w:val="clear" w:color="auto" w:fill="auto"/>
            <w:noWrap/>
            <w:vAlign w:val="center"/>
          </w:tcPr>
          <w:p w14:paraId="6947B3E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014</w:t>
            </w:r>
          </w:p>
        </w:tc>
      </w:tr>
      <w:tr w14:paraId="43C89BAA">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4008896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restart"/>
            <w:tcBorders>
              <w:top w:val="nil"/>
              <w:left w:val="nil"/>
              <w:bottom w:val="nil"/>
              <w:right w:val="nil"/>
            </w:tcBorders>
            <w:shd w:val="clear" w:color="auto" w:fill="auto"/>
            <w:noWrap/>
            <w:vAlign w:val="center"/>
          </w:tcPr>
          <w:p w14:paraId="228B332B">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tcPr>
          <w:p w14:paraId="5136C5C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3D4F006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245</w:t>
            </w:r>
          </w:p>
        </w:tc>
        <w:tc>
          <w:tcPr>
            <w:tcW w:w="506" w:type="pct"/>
            <w:tcBorders>
              <w:top w:val="nil"/>
              <w:left w:val="nil"/>
              <w:bottom w:val="nil"/>
              <w:right w:val="nil"/>
            </w:tcBorders>
            <w:shd w:val="clear" w:color="auto" w:fill="auto"/>
            <w:noWrap/>
            <w:vAlign w:val="center"/>
          </w:tcPr>
          <w:p w14:paraId="1ACF020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128C95A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623</w:t>
            </w:r>
          </w:p>
        </w:tc>
        <w:tc>
          <w:tcPr>
            <w:tcW w:w="506" w:type="pct"/>
            <w:tcBorders>
              <w:top w:val="nil"/>
              <w:left w:val="nil"/>
              <w:bottom w:val="nil"/>
              <w:right w:val="nil"/>
            </w:tcBorders>
            <w:shd w:val="clear" w:color="auto" w:fill="auto"/>
            <w:noWrap/>
            <w:vAlign w:val="center"/>
          </w:tcPr>
          <w:p w14:paraId="36556DA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432</w:t>
            </w:r>
          </w:p>
        </w:tc>
        <w:tc>
          <w:tcPr>
            <w:tcW w:w="506" w:type="pct"/>
            <w:tcBorders>
              <w:top w:val="nil"/>
              <w:left w:val="nil"/>
              <w:bottom w:val="nil"/>
              <w:right w:val="nil"/>
            </w:tcBorders>
            <w:shd w:val="clear" w:color="auto" w:fill="auto"/>
            <w:noWrap/>
            <w:vAlign w:val="center"/>
          </w:tcPr>
          <w:p w14:paraId="065D491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652</w:t>
            </w:r>
          </w:p>
        </w:tc>
      </w:tr>
      <w:tr w14:paraId="3D994057">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0208B31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22CAFCCE">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60512BF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250FF43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6</w:t>
            </w: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146</w:t>
            </w:r>
          </w:p>
        </w:tc>
        <w:tc>
          <w:tcPr>
            <w:tcW w:w="506" w:type="pct"/>
            <w:tcBorders>
              <w:top w:val="nil"/>
              <w:left w:val="nil"/>
              <w:bottom w:val="nil"/>
              <w:right w:val="nil"/>
            </w:tcBorders>
            <w:shd w:val="clear" w:color="auto" w:fill="auto"/>
            <w:noWrap/>
            <w:vAlign w:val="center"/>
          </w:tcPr>
          <w:p w14:paraId="70182A1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6A13547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6</w:t>
            </w: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146</w:t>
            </w:r>
          </w:p>
        </w:tc>
        <w:tc>
          <w:tcPr>
            <w:tcW w:w="506" w:type="pct"/>
            <w:tcBorders>
              <w:top w:val="nil"/>
              <w:left w:val="nil"/>
              <w:bottom w:val="nil"/>
              <w:right w:val="nil"/>
            </w:tcBorders>
            <w:shd w:val="clear" w:color="auto" w:fill="auto"/>
            <w:noWrap/>
            <w:vAlign w:val="center"/>
          </w:tcPr>
          <w:p w14:paraId="029D897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598</w:t>
            </w:r>
          </w:p>
        </w:tc>
        <w:tc>
          <w:tcPr>
            <w:tcW w:w="506" w:type="pct"/>
            <w:tcBorders>
              <w:top w:val="nil"/>
              <w:left w:val="nil"/>
              <w:bottom w:val="nil"/>
              <w:right w:val="nil"/>
            </w:tcBorders>
            <w:shd w:val="clear" w:color="auto" w:fill="auto"/>
            <w:noWrap/>
            <w:vAlign w:val="center"/>
          </w:tcPr>
          <w:p w14:paraId="70B07C3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447</w:t>
            </w:r>
          </w:p>
        </w:tc>
      </w:tr>
      <w:tr w14:paraId="7328D18A">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3B46209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0C5D630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75ABD3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5BDF151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042</w:t>
            </w:r>
          </w:p>
        </w:tc>
        <w:tc>
          <w:tcPr>
            <w:tcW w:w="506" w:type="pct"/>
            <w:tcBorders>
              <w:top w:val="nil"/>
              <w:left w:val="nil"/>
              <w:bottom w:val="nil"/>
              <w:right w:val="nil"/>
            </w:tcBorders>
            <w:shd w:val="clear" w:color="auto" w:fill="auto"/>
            <w:noWrap/>
            <w:vAlign w:val="center"/>
          </w:tcPr>
          <w:p w14:paraId="183A24E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476</w:t>
            </w:r>
          </w:p>
        </w:tc>
        <w:tc>
          <w:tcPr>
            <w:tcW w:w="583" w:type="pct"/>
            <w:tcBorders>
              <w:top w:val="nil"/>
              <w:left w:val="nil"/>
              <w:bottom w:val="nil"/>
              <w:right w:val="nil"/>
            </w:tcBorders>
            <w:shd w:val="clear" w:color="auto" w:fill="auto"/>
            <w:noWrap/>
            <w:vAlign w:val="center"/>
          </w:tcPr>
          <w:p w14:paraId="09A64ED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803</w:t>
            </w:r>
          </w:p>
        </w:tc>
        <w:tc>
          <w:tcPr>
            <w:tcW w:w="506" w:type="pct"/>
            <w:tcBorders>
              <w:top w:val="nil"/>
              <w:left w:val="nil"/>
              <w:bottom w:val="nil"/>
              <w:right w:val="nil"/>
            </w:tcBorders>
            <w:shd w:val="clear" w:color="auto" w:fill="auto"/>
            <w:noWrap/>
            <w:vAlign w:val="center"/>
          </w:tcPr>
          <w:p w14:paraId="4C2B6C4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481</w:t>
            </w:r>
          </w:p>
        </w:tc>
        <w:tc>
          <w:tcPr>
            <w:tcW w:w="506" w:type="pct"/>
            <w:tcBorders>
              <w:top w:val="nil"/>
              <w:left w:val="nil"/>
              <w:bottom w:val="nil"/>
              <w:right w:val="nil"/>
            </w:tcBorders>
            <w:shd w:val="clear" w:color="auto" w:fill="auto"/>
            <w:noWrap/>
            <w:vAlign w:val="center"/>
          </w:tcPr>
          <w:p w14:paraId="38E639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055</w:t>
            </w:r>
          </w:p>
        </w:tc>
      </w:tr>
      <w:tr w14:paraId="20A2990B">
        <w:tblPrEx>
          <w:tblCellMar>
            <w:top w:w="0" w:type="dxa"/>
            <w:left w:w="108" w:type="dxa"/>
            <w:bottom w:w="0" w:type="dxa"/>
            <w:right w:w="108" w:type="dxa"/>
          </w:tblCellMar>
        </w:tblPrEx>
        <w:trPr>
          <w:trHeight w:val="270" w:hRule="atLeast"/>
          <w:jc w:val="center"/>
        </w:trPr>
        <w:tc>
          <w:tcPr>
            <w:tcW w:w="686" w:type="pct"/>
            <w:vMerge w:val="restart"/>
            <w:tcBorders>
              <w:top w:val="nil"/>
              <w:left w:val="nil"/>
              <w:bottom w:val="nil"/>
              <w:right w:val="nil"/>
            </w:tcBorders>
            <w:shd w:val="clear" w:color="auto" w:fill="auto"/>
            <w:noWrap/>
            <w:vAlign w:val="center"/>
          </w:tcPr>
          <w:p w14:paraId="7FFB7F15">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p>
        </w:tc>
        <w:tc>
          <w:tcPr>
            <w:tcW w:w="775" w:type="pct"/>
            <w:vMerge w:val="restart"/>
            <w:tcBorders>
              <w:top w:val="nil"/>
              <w:left w:val="nil"/>
              <w:bottom w:val="nil"/>
              <w:right w:val="nil"/>
            </w:tcBorders>
            <w:shd w:val="clear" w:color="auto" w:fill="auto"/>
            <w:noWrap/>
            <w:vAlign w:val="center"/>
          </w:tcPr>
          <w:p w14:paraId="6E4754D1">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tcPr>
          <w:p w14:paraId="418DD06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78820B9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357</w:t>
            </w:r>
          </w:p>
        </w:tc>
        <w:tc>
          <w:tcPr>
            <w:tcW w:w="506" w:type="pct"/>
            <w:tcBorders>
              <w:top w:val="nil"/>
              <w:left w:val="nil"/>
              <w:bottom w:val="nil"/>
              <w:right w:val="nil"/>
            </w:tcBorders>
            <w:shd w:val="clear" w:color="auto" w:fill="auto"/>
            <w:noWrap/>
            <w:vAlign w:val="center"/>
          </w:tcPr>
          <w:p w14:paraId="300279F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6A0DCCD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679</w:t>
            </w:r>
          </w:p>
        </w:tc>
        <w:tc>
          <w:tcPr>
            <w:tcW w:w="506" w:type="pct"/>
            <w:tcBorders>
              <w:top w:val="nil"/>
              <w:left w:val="nil"/>
              <w:bottom w:val="nil"/>
              <w:right w:val="nil"/>
            </w:tcBorders>
            <w:shd w:val="clear" w:color="auto" w:fill="auto"/>
            <w:noWrap/>
            <w:vAlign w:val="center"/>
          </w:tcPr>
          <w:p w14:paraId="2E79868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374</w:t>
            </w:r>
          </w:p>
        </w:tc>
        <w:tc>
          <w:tcPr>
            <w:tcW w:w="506" w:type="pct"/>
            <w:tcBorders>
              <w:top w:val="nil"/>
              <w:left w:val="nil"/>
              <w:bottom w:val="nil"/>
              <w:right w:val="nil"/>
            </w:tcBorders>
            <w:shd w:val="clear" w:color="auto" w:fill="auto"/>
            <w:noWrap/>
            <w:vAlign w:val="center"/>
          </w:tcPr>
          <w:p w14:paraId="072B3BD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018</w:t>
            </w:r>
          </w:p>
        </w:tc>
      </w:tr>
      <w:tr w14:paraId="2AA1D23B">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18D605D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65AB414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75F42CC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33662B3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542</w:t>
            </w:r>
          </w:p>
        </w:tc>
        <w:tc>
          <w:tcPr>
            <w:tcW w:w="506" w:type="pct"/>
            <w:tcBorders>
              <w:top w:val="nil"/>
              <w:left w:val="nil"/>
              <w:bottom w:val="nil"/>
              <w:right w:val="nil"/>
            </w:tcBorders>
            <w:shd w:val="clear" w:color="auto" w:fill="auto"/>
            <w:noWrap/>
            <w:vAlign w:val="center"/>
          </w:tcPr>
          <w:p w14:paraId="7195299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026A21D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542</w:t>
            </w:r>
          </w:p>
        </w:tc>
        <w:tc>
          <w:tcPr>
            <w:tcW w:w="506" w:type="pct"/>
            <w:tcBorders>
              <w:top w:val="nil"/>
              <w:left w:val="nil"/>
              <w:bottom w:val="nil"/>
              <w:right w:val="nil"/>
            </w:tcBorders>
            <w:shd w:val="clear" w:color="auto" w:fill="auto"/>
            <w:noWrap/>
            <w:vAlign w:val="center"/>
          </w:tcPr>
          <w:p w14:paraId="3CA0D26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479</w:t>
            </w:r>
          </w:p>
        </w:tc>
        <w:tc>
          <w:tcPr>
            <w:tcW w:w="506" w:type="pct"/>
            <w:tcBorders>
              <w:top w:val="nil"/>
              <w:left w:val="nil"/>
              <w:bottom w:val="nil"/>
              <w:right w:val="nil"/>
            </w:tcBorders>
            <w:shd w:val="clear" w:color="auto" w:fill="auto"/>
            <w:noWrap/>
            <w:vAlign w:val="center"/>
          </w:tcPr>
          <w:p w14:paraId="00B494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236</w:t>
            </w:r>
          </w:p>
        </w:tc>
      </w:tr>
      <w:tr w14:paraId="418FB113">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1D0AEAC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46DE260E">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5366C10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2808659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55</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center"/>
          </w:tcPr>
          <w:p w14:paraId="652F0EB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5954D57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275</w:t>
            </w:r>
          </w:p>
        </w:tc>
        <w:tc>
          <w:tcPr>
            <w:tcW w:w="506" w:type="pct"/>
            <w:tcBorders>
              <w:top w:val="nil"/>
              <w:left w:val="nil"/>
              <w:bottom w:val="nil"/>
              <w:right w:val="nil"/>
            </w:tcBorders>
            <w:shd w:val="clear" w:color="auto" w:fill="auto"/>
            <w:noWrap/>
            <w:vAlign w:val="center"/>
          </w:tcPr>
          <w:p w14:paraId="268E965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676</w:t>
            </w:r>
          </w:p>
        </w:tc>
        <w:tc>
          <w:tcPr>
            <w:tcW w:w="506" w:type="pct"/>
            <w:tcBorders>
              <w:top w:val="nil"/>
              <w:left w:val="nil"/>
              <w:bottom w:val="nil"/>
              <w:right w:val="nil"/>
            </w:tcBorders>
            <w:shd w:val="clear" w:color="auto" w:fill="auto"/>
            <w:noWrap/>
            <w:vAlign w:val="center"/>
          </w:tcPr>
          <w:p w14:paraId="472A6C7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514</w:t>
            </w:r>
          </w:p>
        </w:tc>
      </w:tr>
      <w:tr w14:paraId="23B09480">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4089074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restart"/>
            <w:tcBorders>
              <w:top w:val="nil"/>
              <w:left w:val="nil"/>
              <w:bottom w:val="nil"/>
              <w:right w:val="nil"/>
            </w:tcBorders>
            <w:shd w:val="clear" w:color="auto" w:fill="auto"/>
            <w:noWrap/>
            <w:vAlign w:val="center"/>
          </w:tcPr>
          <w:p w14:paraId="63EA40A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tcPr>
          <w:p w14:paraId="2CBE660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1F5C4EC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014</w:t>
            </w:r>
          </w:p>
        </w:tc>
        <w:tc>
          <w:tcPr>
            <w:tcW w:w="506" w:type="pct"/>
            <w:tcBorders>
              <w:top w:val="nil"/>
              <w:left w:val="nil"/>
              <w:bottom w:val="nil"/>
              <w:right w:val="nil"/>
            </w:tcBorders>
            <w:shd w:val="clear" w:color="auto" w:fill="auto"/>
            <w:noWrap/>
            <w:vAlign w:val="center"/>
          </w:tcPr>
          <w:p w14:paraId="334783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597CA57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007</w:t>
            </w:r>
          </w:p>
        </w:tc>
        <w:tc>
          <w:tcPr>
            <w:tcW w:w="506" w:type="pct"/>
            <w:tcBorders>
              <w:top w:val="nil"/>
              <w:left w:val="nil"/>
              <w:bottom w:val="nil"/>
              <w:right w:val="nil"/>
            </w:tcBorders>
            <w:shd w:val="clear" w:color="auto" w:fill="auto"/>
            <w:noWrap/>
            <w:vAlign w:val="center"/>
          </w:tcPr>
          <w:p w14:paraId="1DE4316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2.</w:t>
            </w:r>
            <w:r>
              <w:rPr>
                <w:rFonts w:hint="eastAsia" w:ascii="Times New Roman" w:hAnsi="Times New Roman" w:eastAsia="宋体" w:cs="宋体"/>
                <w:color w:val="auto"/>
                <w:kern w:val="0"/>
                <w:sz w:val="21"/>
                <w:szCs w:val="24"/>
                <w:lang w:bidi="ar"/>
              </w:rPr>
              <w:t>07</w:t>
            </w:r>
          </w:p>
        </w:tc>
        <w:tc>
          <w:tcPr>
            <w:tcW w:w="506" w:type="pct"/>
            <w:tcBorders>
              <w:top w:val="nil"/>
              <w:left w:val="nil"/>
              <w:bottom w:val="nil"/>
              <w:right w:val="nil"/>
            </w:tcBorders>
            <w:shd w:val="clear" w:color="auto" w:fill="auto"/>
            <w:noWrap/>
            <w:vAlign w:val="center"/>
          </w:tcPr>
          <w:p w14:paraId="5648033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138</w:t>
            </w:r>
          </w:p>
        </w:tc>
      </w:tr>
      <w:tr w14:paraId="68AA0D96">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483DB07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01A7A76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17CD58D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3BD6A5D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474</w:t>
            </w:r>
          </w:p>
        </w:tc>
        <w:tc>
          <w:tcPr>
            <w:tcW w:w="506" w:type="pct"/>
            <w:tcBorders>
              <w:top w:val="nil"/>
              <w:left w:val="nil"/>
              <w:bottom w:val="nil"/>
              <w:right w:val="nil"/>
            </w:tcBorders>
            <w:shd w:val="clear" w:color="auto" w:fill="auto"/>
            <w:noWrap/>
            <w:vAlign w:val="center"/>
          </w:tcPr>
          <w:p w14:paraId="34A638F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67E408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474</w:t>
            </w:r>
          </w:p>
        </w:tc>
        <w:tc>
          <w:tcPr>
            <w:tcW w:w="506" w:type="pct"/>
            <w:tcBorders>
              <w:top w:val="nil"/>
              <w:left w:val="nil"/>
              <w:bottom w:val="nil"/>
              <w:right w:val="nil"/>
            </w:tcBorders>
            <w:shd w:val="clear" w:color="auto" w:fill="auto"/>
            <w:noWrap/>
            <w:vAlign w:val="center"/>
          </w:tcPr>
          <w:p w14:paraId="3228617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2.</w:t>
            </w:r>
            <w:r>
              <w:rPr>
                <w:rFonts w:hint="eastAsia" w:ascii="Times New Roman" w:hAnsi="Times New Roman" w:eastAsia="宋体" w:cs="宋体"/>
                <w:color w:val="auto"/>
                <w:kern w:val="0"/>
                <w:sz w:val="21"/>
                <w:szCs w:val="24"/>
                <w:lang w:bidi="ar"/>
              </w:rPr>
              <w:t>071</w:t>
            </w:r>
          </w:p>
        </w:tc>
        <w:tc>
          <w:tcPr>
            <w:tcW w:w="506" w:type="pct"/>
            <w:tcBorders>
              <w:top w:val="nil"/>
              <w:left w:val="nil"/>
              <w:bottom w:val="nil"/>
              <w:right w:val="nil"/>
            </w:tcBorders>
            <w:shd w:val="clear" w:color="auto" w:fill="auto"/>
            <w:noWrap/>
            <w:vAlign w:val="center"/>
          </w:tcPr>
          <w:p w14:paraId="522ECE3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164</w:t>
            </w:r>
          </w:p>
        </w:tc>
      </w:tr>
      <w:tr w14:paraId="4D0A78F0">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5ED82C2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2621B26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75C5C6A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3F63A99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244</w:t>
            </w:r>
          </w:p>
        </w:tc>
        <w:tc>
          <w:tcPr>
            <w:tcW w:w="506" w:type="pct"/>
            <w:tcBorders>
              <w:top w:val="nil"/>
              <w:left w:val="nil"/>
              <w:bottom w:val="nil"/>
              <w:right w:val="nil"/>
            </w:tcBorders>
            <w:shd w:val="clear" w:color="auto" w:fill="auto"/>
            <w:noWrap/>
            <w:vAlign w:val="center"/>
          </w:tcPr>
          <w:p w14:paraId="6D6E28D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3621031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622</w:t>
            </w:r>
          </w:p>
        </w:tc>
        <w:tc>
          <w:tcPr>
            <w:tcW w:w="506" w:type="pct"/>
            <w:tcBorders>
              <w:top w:val="nil"/>
              <w:left w:val="nil"/>
              <w:bottom w:val="nil"/>
              <w:right w:val="nil"/>
            </w:tcBorders>
            <w:shd w:val="clear" w:color="auto" w:fill="auto"/>
            <w:noWrap/>
            <w:vAlign w:val="center"/>
          </w:tcPr>
          <w:p w14:paraId="2B814F1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428</w:t>
            </w:r>
          </w:p>
        </w:tc>
        <w:tc>
          <w:tcPr>
            <w:tcW w:w="506" w:type="pct"/>
            <w:tcBorders>
              <w:top w:val="nil"/>
              <w:left w:val="nil"/>
              <w:bottom w:val="nil"/>
              <w:right w:val="nil"/>
            </w:tcBorders>
            <w:shd w:val="clear" w:color="auto" w:fill="auto"/>
            <w:noWrap/>
            <w:vAlign w:val="center"/>
          </w:tcPr>
          <w:p w14:paraId="1AC32FB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654</w:t>
            </w:r>
          </w:p>
        </w:tc>
      </w:tr>
      <w:tr w14:paraId="345A383A">
        <w:tblPrEx>
          <w:tblCellMar>
            <w:top w:w="0" w:type="dxa"/>
            <w:left w:w="108" w:type="dxa"/>
            <w:bottom w:w="0" w:type="dxa"/>
            <w:right w:w="108" w:type="dxa"/>
          </w:tblCellMar>
        </w:tblPrEx>
        <w:trPr>
          <w:trHeight w:val="270" w:hRule="atLeast"/>
          <w:jc w:val="center"/>
        </w:trPr>
        <w:tc>
          <w:tcPr>
            <w:tcW w:w="686" w:type="pct"/>
            <w:vMerge w:val="restart"/>
            <w:tcBorders>
              <w:top w:val="nil"/>
              <w:left w:val="nil"/>
              <w:bottom w:val="nil"/>
              <w:right w:val="nil"/>
            </w:tcBorders>
            <w:shd w:val="clear" w:color="auto" w:fill="auto"/>
            <w:noWrap/>
            <w:vAlign w:val="center"/>
          </w:tcPr>
          <w:p w14:paraId="25CE79E3">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p>
        </w:tc>
        <w:tc>
          <w:tcPr>
            <w:tcW w:w="775" w:type="pct"/>
            <w:vMerge w:val="restart"/>
            <w:tcBorders>
              <w:top w:val="nil"/>
              <w:left w:val="nil"/>
              <w:bottom w:val="nil"/>
              <w:right w:val="nil"/>
            </w:tcBorders>
            <w:shd w:val="clear" w:color="auto" w:fill="auto"/>
            <w:noWrap/>
            <w:vAlign w:val="center"/>
          </w:tcPr>
          <w:p w14:paraId="7D26C61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tcPr>
          <w:p w14:paraId="538B3FC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201A3E8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533</w:t>
            </w:r>
          </w:p>
        </w:tc>
        <w:tc>
          <w:tcPr>
            <w:tcW w:w="506" w:type="pct"/>
            <w:tcBorders>
              <w:top w:val="nil"/>
              <w:left w:val="nil"/>
              <w:bottom w:val="nil"/>
              <w:right w:val="nil"/>
            </w:tcBorders>
            <w:shd w:val="clear" w:color="auto" w:fill="auto"/>
            <w:noWrap/>
            <w:vAlign w:val="center"/>
          </w:tcPr>
          <w:p w14:paraId="29DCE82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1AC3F63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5.</w:t>
            </w:r>
            <w:r>
              <w:rPr>
                <w:rFonts w:hint="eastAsia" w:ascii="Times New Roman" w:hAnsi="Times New Roman" w:eastAsia="宋体" w:cs="宋体"/>
                <w:color w:val="auto"/>
                <w:kern w:val="0"/>
                <w:sz w:val="21"/>
                <w:szCs w:val="24"/>
                <w:lang w:bidi="ar"/>
              </w:rPr>
              <w:t>767</w:t>
            </w:r>
          </w:p>
        </w:tc>
        <w:tc>
          <w:tcPr>
            <w:tcW w:w="506" w:type="pct"/>
            <w:tcBorders>
              <w:top w:val="nil"/>
              <w:left w:val="nil"/>
              <w:bottom w:val="nil"/>
              <w:right w:val="nil"/>
            </w:tcBorders>
            <w:shd w:val="clear" w:color="auto" w:fill="auto"/>
            <w:noWrap/>
            <w:vAlign w:val="center"/>
          </w:tcPr>
          <w:p w14:paraId="6AC97D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306</w:t>
            </w:r>
          </w:p>
        </w:tc>
        <w:tc>
          <w:tcPr>
            <w:tcW w:w="506" w:type="pct"/>
            <w:tcBorders>
              <w:top w:val="nil"/>
              <w:left w:val="nil"/>
              <w:bottom w:val="nil"/>
              <w:right w:val="nil"/>
            </w:tcBorders>
            <w:shd w:val="clear" w:color="auto" w:fill="auto"/>
            <w:noWrap/>
            <w:vAlign w:val="center"/>
          </w:tcPr>
          <w:p w14:paraId="4ED09E6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046</w:t>
            </w:r>
          </w:p>
        </w:tc>
      </w:tr>
      <w:tr w14:paraId="5606AB2B">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042BDC3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21AD01D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052BEA8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00D1D01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494</w:t>
            </w:r>
          </w:p>
        </w:tc>
        <w:tc>
          <w:tcPr>
            <w:tcW w:w="506" w:type="pct"/>
            <w:tcBorders>
              <w:top w:val="nil"/>
              <w:left w:val="nil"/>
              <w:bottom w:val="nil"/>
              <w:right w:val="nil"/>
            </w:tcBorders>
            <w:shd w:val="clear" w:color="auto" w:fill="auto"/>
            <w:noWrap/>
            <w:vAlign w:val="center"/>
          </w:tcPr>
          <w:p w14:paraId="0C296E1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2C70E00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494</w:t>
            </w:r>
          </w:p>
        </w:tc>
        <w:tc>
          <w:tcPr>
            <w:tcW w:w="506" w:type="pct"/>
            <w:tcBorders>
              <w:top w:val="nil"/>
              <w:left w:val="nil"/>
              <w:bottom w:val="nil"/>
              <w:right w:val="nil"/>
            </w:tcBorders>
            <w:shd w:val="clear" w:color="auto" w:fill="auto"/>
            <w:noWrap/>
            <w:vAlign w:val="center"/>
          </w:tcPr>
          <w:p w14:paraId="014FBEC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064</w:t>
            </w:r>
          </w:p>
        </w:tc>
        <w:tc>
          <w:tcPr>
            <w:tcW w:w="506" w:type="pct"/>
            <w:tcBorders>
              <w:top w:val="nil"/>
              <w:left w:val="nil"/>
              <w:bottom w:val="nil"/>
              <w:right w:val="nil"/>
            </w:tcBorders>
            <w:shd w:val="clear" w:color="auto" w:fill="auto"/>
            <w:noWrap/>
            <w:vAlign w:val="center"/>
          </w:tcPr>
          <w:p w14:paraId="6B55CF8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802</w:t>
            </w:r>
          </w:p>
        </w:tc>
      </w:tr>
      <w:tr w14:paraId="55B091AC">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58E184D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5EB1D50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6745DB0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7DF0C74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73</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center"/>
          </w:tcPr>
          <w:p w14:paraId="1919D4E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0F0A2B6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365</w:t>
            </w:r>
          </w:p>
        </w:tc>
        <w:tc>
          <w:tcPr>
            <w:tcW w:w="506" w:type="pct"/>
            <w:tcBorders>
              <w:top w:val="nil"/>
              <w:left w:val="nil"/>
              <w:bottom w:val="nil"/>
              <w:right w:val="nil"/>
            </w:tcBorders>
            <w:shd w:val="clear" w:color="auto" w:fill="auto"/>
            <w:noWrap/>
            <w:vAlign w:val="center"/>
          </w:tcPr>
          <w:p w14:paraId="142F640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209</w:t>
            </w:r>
          </w:p>
        </w:tc>
        <w:tc>
          <w:tcPr>
            <w:tcW w:w="506" w:type="pct"/>
            <w:tcBorders>
              <w:top w:val="nil"/>
              <w:left w:val="nil"/>
              <w:bottom w:val="nil"/>
              <w:right w:val="nil"/>
            </w:tcBorders>
            <w:shd w:val="clear" w:color="auto" w:fill="auto"/>
            <w:noWrap/>
            <w:vAlign w:val="center"/>
          </w:tcPr>
          <w:p w14:paraId="791C81E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812</w:t>
            </w:r>
          </w:p>
        </w:tc>
      </w:tr>
      <w:tr w14:paraId="7692C638">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71D15F0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restart"/>
            <w:tcBorders>
              <w:top w:val="nil"/>
              <w:left w:val="nil"/>
              <w:bottom w:val="nil"/>
              <w:right w:val="nil"/>
            </w:tcBorders>
            <w:shd w:val="clear" w:color="auto" w:fill="auto"/>
            <w:noWrap/>
            <w:vAlign w:val="center"/>
          </w:tcPr>
          <w:p w14:paraId="08369C4F">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tcPr>
          <w:p w14:paraId="3217286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3D7545D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389</w:t>
            </w:r>
          </w:p>
        </w:tc>
        <w:tc>
          <w:tcPr>
            <w:tcW w:w="506" w:type="pct"/>
            <w:tcBorders>
              <w:top w:val="nil"/>
              <w:left w:val="nil"/>
              <w:bottom w:val="nil"/>
              <w:right w:val="nil"/>
            </w:tcBorders>
            <w:shd w:val="clear" w:color="auto" w:fill="auto"/>
            <w:noWrap/>
            <w:vAlign w:val="center"/>
          </w:tcPr>
          <w:p w14:paraId="5704335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5731CD2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695</w:t>
            </w:r>
          </w:p>
        </w:tc>
        <w:tc>
          <w:tcPr>
            <w:tcW w:w="506" w:type="pct"/>
            <w:tcBorders>
              <w:top w:val="nil"/>
              <w:left w:val="nil"/>
              <w:bottom w:val="nil"/>
              <w:right w:val="nil"/>
            </w:tcBorders>
            <w:shd w:val="clear" w:color="auto" w:fill="auto"/>
            <w:noWrap/>
            <w:vAlign w:val="center"/>
          </w:tcPr>
          <w:p w14:paraId="2C98D88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267</w:t>
            </w:r>
          </w:p>
        </w:tc>
        <w:tc>
          <w:tcPr>
            <w:tcW w:w="506" w:type="pct"/>
            <w:tcBorders>
              <w:top w:val="nil"/>
              <w:left w:val="nil"/>
              <w:bottom w:val="nil"/>
              <w:right w:val="nil"/>
            </w:tcBorders>
            <w:shd w:val="clear" w:color="auto" w:fill="auto"/>
            <w:noWrap/>
            <w:vAlign w:val="center"/>
          </w:tcPr>
          <w:p w14:paraId="7EB811E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767</w:t>
            </w:r>
          </w:p>
        </w:tc>
      </w:tr>
      <w:tr w14:paraId="705E0E4E">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77CB385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4A3C83D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0E9BD30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0AFADB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186</w:t>
            </w:r>
          </w:p>
        </w:tc>
        <w:tc>
          <w:tcPr>
            <w:tcW w:w="506" w:type="pct"/>
            <w:tcBorders>
              <w:top w:val="nil"/>
              <w:left w:val="nil"/>
              <w:bottom w:val="nil"/>
              <w:right w:val="nil"/>
            </w:tcBorders>
            <w:shd w:val="clear" w:color="auto" w:fill="auto"/>
            <w:noWrap/>
            <w:vAlign w:val="center"/>
          </w:tcPr>
          <w:p w14:paraId="54B54DF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4A7BDEE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1.</w:t>
            </w:r>
            <w:r>
              <w:rPr>
                <w:rFonts w:hint="eastAsia" w:ascii="Times New Roman" w:hAnsi="Times New Roman" w:eastAsia="宋体" w:cs="宋体"/>
                <w:color w:val="auto"/>
                <w:kern w:val="0"/>
                <w:sz w:val="21"/>
                <w:szCs w:val="24"/>
                <w:lang w:bidi="ar"/>
              </w:rPr>
              <w:t>186</w:t>
            </w:r>
          </w:p>
        </w:tc>
        <w:tc>
          <w:tcPr>
            <w:tcW w:w="506" w:type="pct"/>
            <w:tcBorders>
              <w:top w:val="nil"/>
              <w:left w:val="nil"/>
              <w:bottom w:val="nil"/>
              <w:right w:val="nil"/>
            </w:tcBorders>
            <w:shd w:val="clear" w:color="auto" w:fill="auto"/>
            <w:noWrap/>
            <w:vAlign w:val="center"/>
          </w:tcPr>
          <w:p w14:paraId="0D243C2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014</w:t>
            </w:r>
          </w:p>
        </w:tc>
        <w:tc>
          <w:tcPr>
            <w:tcW w:w="506" w:type="pct"/>
            <w:tcBorders>
              <w:top w:val="nil"/>
              <w:left w:val="nil"/>
              <w:bottom w:val="nil"/>
              <w:right w:val="nil"/>
            </w:tcBorders>
            <w:shd w:val="clear" w:color="auto" w:fill="auto"/>
            <w:noWrap/>
            <w:vAlign w:val="center"/>
          </w:tcPr>
          <w:p w14:paraId="4223BED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907</w:t>
            </w:r>
          </w:p>
        </w:tc>
      </w:tr>
      <w:tr w14:paraId="55E00A93">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nil"/>
              <w:right w:val="nil"/>
            </w:tcBorders>
            <w:shd w:val="clear" w:color="auto" w:fill="auto"/>
            <w:noWrap/>
            <w:vAlign w:val="center"/>
          </w:tcPr>
          <w:p w14:paraId="6357C75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39880C8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33559DC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7692324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35</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center"/>
          </w:tcPr>
          <w:p w14:paraId="61A0CCD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70DEA97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175</w:t>
            </w:r>
          </w:p>
        </w:tc>
        <w:tc>
          <w:tcPr>
            <w:tcW w:w="506" w:type="pct"/>
            <w:tcBorders>
              <w:top w:val="nil"/>
              <w:left w:val="nil"/>
              <w:bottom w:val="nil"/>
              <w:right w:val="nil"/>
            </w:tcBorders>
            <w:shd w:val="clear" w:color="auto" w:fill="auto"/>
            <w:noWrap/>
            <w:vAlign w:val="center"/>
          </w:tcPr>
          <w:p w14:paraId="2918533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028</w:t>
            </w:r>
          </w:p>
        </w:tc>
        <w:tc>
          <w:tcPr>
            <w:tcW w:w="506" w:type="pct"/>
            <w:tcBorders>
              <w:top w:val="nil"/>
              <w:left w:val="nil"/>
              <w:bottom w:val="nil"/>
              <w:right w:val="nil"/>
            </w:tcBorders>
            <w:shd w:val="clear" w:color="auto" w:fill="auto"/>
            <w:noWrap/>
            <w:vAlign w:val="center"/>
          </w:tcPr>
          <w:p w14:paraId="253DFB5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973</w:t>
            </w:r>
          </w:p>
        </w:tc>
      </w:tr>
      <w:tr w14:paraId="3D206B54">
        <w:tblPrEx>
          <w:tblCellMar>
            <w:top w:w="0" w:type="dxa"/>
            <w:left w:w="108" w:type="dxa"/>
            <w:bottom w:w="0" w:type="dxa"/>
            <w:right w:w="108" w:type="dxa"/>
          </w:tblCellMar>
        </w:tblPrEx>
        <w:trPr>
          <w:trHeight w:val="270" w:hRule="atLeast"/>
          <w:jc w:val="center"/>
        </w:trPr>
        <w:tc>
          <w:tcPr>
            <w:tcW w:w="686" w:type="pct"/>
            <w:vMerge w:val="restart"/>
            <w:tcBorders>
              <w:top w:val="nil"/>
              <w:left w:val="nil"/>
              <w:bottom w:val="single" w:color="000000" w:sz="8" w:space="0"/>
              <w:right w:val="nil"/>
            </w:tcBorders>
            <w:shd w:val="clear" w:color="auto" w:fill="auto"/>
            <w:noWrap/>
            <w:vAlign w:val="center"/>
          </w:tcPr>
          <w:p w14:paraId="0F029EAB">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ROM</w:t>
            </w:r>
          </w:p>
        </w:tc>
        <w:tc>
          <w:tcPr>
            <w:tcW w:w="775" w:type="pct"/>
            <w:vMerge w:val="restart"/>
            <w:tcBorders>
              <w:top w:val="nil"/>
              <w:left w:val="nil"/>
              <w:bottom w:val="nil"/>
              <w:right w:val="nil"/>
            </w:tcBorders>
            <w:shd w:val="clear" w:color="auto" w:fill="auto"/>
            <w:noWrap/>
            <w:vAlign w:val="center"/>
          </w:tcPr>
          <w:p w14:paraId="728DC3DC">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tcPr>
          <w:p w14:paraId="439FC2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62F6E61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3</w:t>
            </w:r>
            <w:r>
              <w:rPr>
                <w:rFonts w:hint="eastAsia" w:ascii="Times New Roman" w:hAnsi="Times New Roman" w:eastAsia="宋体" w:cs="宋体"/>
                <w:color w:val="auto"/>
                <w:kern w:val="0"/>
                <w:sz w:val="21"/>
                <w:szCs w:val="24"/>
                <w:lang w:eastAsia="zh-CN" w:bidi="ar"/>
              </w:rPr>
              <w:t>3.</w:t>
            </w:r>
            <w:r>
              <w:rPr>
                <w:rFonts w:hint="eastAsia" w:ascii="Times New Roman" w:hAnsi="Times New Roman" w:eastAsia="宋体" w:cs="宋体"/>
                <w:color w:val="auto"/>
                <w:kern w:val="0"/>
                <w:sz w:val="21"/>
                <w:szCs w:val="24"/>
                <w:lang w:bidi="ar"/>
              </w:rPr>
              <w:t>309</w:t>
            </w:r>
          </w:p>
        </w:tc>
        <w:tc>
          <w:tcPr>
            <w:tcW w:w="506" w:type="pct"/>
            <w:tcBorders>
              <w:top w:val="nil"/>
              <w:left w:val="nil"/>
              <w:bottom w:val="nil"/>
              <w:right w:val="nil"/>
            </w:tcBorders>
            <w:shd w:val="clear" w:color="auto" w:fill="auto"/>
            <w:noWrap/>
            <w:vAlign w:val="center"/>
          </w:tcPr>
          <w:p w14:paraId="34E62F3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7DAF0F0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eastAsia="zh-CN" w:bidi="ar"/>
              </w:rPr>
              <w:t>6.</w:t>
            </w:r>
            <w:r>
              <w:rPr>
                <w:rFonts w:hint="eastAsia" w:ascii="Times New Roman" w:hAnsi="Times New Roman" w:eastAsia="宋体" w:cs="宋体"/>
                <w:color w:val="auto"/>
                <w:kern w:val="0"/>
                <w:sz w:val="21"/>
                <w:szCs w:val="24"/>
                <w:lang w:bidi="ar"/>
              </w:rPr>
              <w:t>654</w:t>
            </w:r>
          </w:p>
        </w:tc>
        <w:tc>
          <w:tcPr>
            <w:tcW w:w="506" w:type="pct"/>
            <w:tcBorders>
              <w:top w:val="nil"/>
              <w:left w:val="nil"/>
              <w:bottom w:val="nil"/>
              <w:right w:val="nil"/>
            </w:tcBorders>
            <w:shd w:val="clear" w:color="auto" w:fill="auto"/>
            <w:noWrap/>
            <w:vAlign w:val="center"/>
          </w:tcPr>
          <w:p w14:paraId="3FE1420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896</w:t>
            </w:r>
          </w:p>
        </w:tc>
        <w:tc>
          <w:tcPr>
            <w:tcW w:w="506" w:type="pct"/>
            <w:tcBorders>
              <w:top w:val="nil"/>
              <w:left w:val="nil"/>
              <w:bottom w:val="nil"/>
              <w:right w:val="nil"/>
            </w:tcBorders>
            <w:shd w:val="clear" w:color="auto" w:fill="auto"/>
            <w:noWrap/>
            <w:vAlign w:val="center"/>
          </w:tcPr>
          <w:p w14:paraId="3FAF24B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012</w:t>
            </w:r>
          </w:p>
        </w:tc>
      </w:tr>
      <w:tr w14:paraId="31DDB18A">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single" w:color="000000" w:sz="8" w:space="0"/>
              <w:right w:val="nil"/>
            </w:tcBorders>
            <w:shd w:val="clear" w:color="auto" w:fill="auto"/>
            <w:noWrap/>
            <w:vAlign w:val="center"/>
          </w:tcPr>
          <w:p w14:paraId="1FC2501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7C87E66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04A02D3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0FF4027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225</w:t>
            </w:r>
          </w:p>
        </w:tc>
        <w:tc>
          <w:tcPr>
            <w:tcW w:w="506" w:type="pct"/>
            <w:tcBorders>
              <w:top w:val="nil"/>
              <w:left w:val="nil"/>
              <w:bottom w:val="nil"/>
              <w:right w:val="nil"/>
            </w:tcBorders>
            <w:shd w:val="clear" w:color="auto" w:fill="auto"/>
            <w:noWrap/>
            <w:vAlign w:val="center"/>
          </w:tcPr>
          <w:p w14:paraId="1F0FFE8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43A5473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225</w:t>
            </w:r>
          </w:p>
        </w:tc>
        <w:tc>
          <w:tcPr>
            <w:tcW w:w="506" w:type="pct"/>
            <w:tcBorders>
              <w:top w:val="nil"/>
              <w:left w:val="nil"/>
              <w:bottom w:val="nil"/>
              <w:right w:val="nil"/>
            </w:tcBorders>
            <w:shd w:val="clear" w:color="auto" w:fill="auto"/>
            <w:noWrap/>
            <w:vAlign w:val="center"/>
          </w:tcPr>
          <w:p w14:paraId="36A989E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011</w:t>
            </w:r>
          </w:p>
        </w:tc>
        <w:tc>
          <w:tcPr>
            <w:tcW w:w="506" w:type="pct"/>
            <w:tcBorders>
              <w:top w:val="nil"/>
              <w:left w:val="nil"/>
              <w:bottom w:val="nil"/>
              <w:right w:val="nil"/>
            </w:tcBorders>
            <w:shd w:val="clear" w:color="auto" w:fill="auto"/>
            <w:noWrap/>
            <w:vAlign w:val="center"/>
          </w:tcPr>
          <w:p w14:paraId="211B5D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918</w:t>
            </w:r>
          </w:p>
        </w:tc>
      </w:tr>
      <w:tr w14:paraId="2E5F25FA">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single" w:color="000000" w:sz="8" w:space="0"/>
              <w:right w:val="nil"/>
            </w:tcBorders>
            <w:shd w:val="clear" w:color="auto" w:fill="auto"/>
            <w:noWrap/>
            <w:vAlign w:val="center"/>
          </w:tcPr>
          <w:p w14:paraId="20F0D90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52C25F2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05C8EF7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0897D76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284</w:t>
            </w:r>
          </w:p>
        </w:tc>
        <w:tc>
          <w:tcPr>
            <w:tcW w:w="506" w:type="pct"/>
            <w:tcBorders>
              <w:top w:val="nil"/>
              <w:left w:val="nil"/>
              <w:bottom w:val="nil"/>
              <w:right w:val="nil"/>
            </w:tcBorders>
            <w:shd w:val="clear" w:color="auto" w:fill="auto"/>
            <w:noWrap/>
            <w:vAlign w:val="center"/>
          </w:tcPr>
          <w:p w14:paraId="442FCAE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7888187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2.</w:t>
            </w:r>
            <w:r>
              <w:rPr>
                <w:rFonts w:hint="eastAsia" w:ascii="Times New Roman" w:hAnsi="Times New Roman" w:eastAsia="宋体" w:cs="宋体"/>
                <w:color w:val="auto"/>
                <w:kern w:val="0"/>
                <w:sz w:val="21"/>
                <w:szCs w:val="24"/>
                <w:lang w:bidi="ar"/>
              </w:rPr>
              <w:t>142</w:t>
            </w:r>
          </w:p>
        </w:tc>
        <w:tc>
          <w:tcPr>
            <w:tcW w:w="506" w:type="pct"/>
            <w:tcBorders>
              <w:top w:val="nil"/>
              <w:left w:val="nil"/>
              <w:bottom w:val="nil"/>
              <w:right w:val="nil"/>
            </w:tcBorders>
            <w:shd w:val="clear" w:color="auto" w:fill="auto"/>
            <w:noWrap/>
            <w:vAlign w:val="center"/>
          </w:tcPr>
          <w:p w14:paraId="181FACE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63</w:t>
            </w:r>
          </w:p>
        </w:tc>
        <w:tc>
          <w:tcPr>
            <w:tcW w:w="506" w:type="pct"/>
            <w:tcBorders>
              <w:top w:val="nil"/>
              <w:left w:val="nil"/>
              <w:bottom w:val="nil"/>
              <w:right w:val="nil"/>
            </w:tcBorders>
            <w:shd w:val="clear" w:color="auto" w:fill="auto"/>
            <w:noWrap/>
            <w:vAlign w:val="center"/>
          </w:tcPr>
          <w:p w14:paraId="1238F6C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537</w:t>
            </w:r>
          </w:p>
        </w:tc>
      </w:tr>
      <w:tr w14:paraId="7BD80263">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single" w:color="000000" w:sz="8" w:space="0"/>
              <w:right w:val="nil"/>
            </w:tcBorders>
            <w:shd w:val="clear" w:color="auto" w:fill="auto"/>
            <w:noWrap/>
            <w:vAlign w:val="center"/>
          </w:tcPr>
          <w:p w14:paraId="1340B5D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restart"/>
            <w:tcBorders>
              <w:top w:val="nil"/>
              <w:left w:val="nil"/>
              <w:bottom w:val="single" w:color="000000" w:sz="8" w:space="0"/>
              <w:right w:val="nil"/>
            </w:tcBorders>
            <w:shd w:val="clear" w:color="auto" w:fill="auto"/>
            <w:noWrap/>
            <w:vAlign w:val="center"/>
          </w:tcPr>
          <w:p w14:paraId="348C168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tcPr>
          <w:p w14:paraId="7D4804D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4EEE8BD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4</w:t>
            </w: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073</w:t>
            </w:r>
          </w:p>
        </w:tc>
        <w:tc>
          <w:tcPr>
            <w:tcW w:w="506" w:type="pct"/>
            <w:tcBorders>
              <w:top w:val="nil"/>
              <w:left w:val="nil"/>
              <w:bottom w:val="nil"/>
              <w:right w:val="nil"/>
            </w:tcBorders>
            <w:shd w:val="clear" w:color="auto" w:fill="auto"/>
            <w:noWrap/>
            <w:vAlign w:val="center"/>
          </w:tcPr>
          <w:p w14:paraId="30787C8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194DCEF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037</w:t>
            </w:r>
          </w:p>
        </w:tc>
        <w:tc>
          <w:tcPr>
            <w:tcW w:w="506" w:type="pct"/>
            <w:tcBorders>
              <w:top w:val="nil"/>
              <w:left w:val="nil"/>
              <w:bottom w:val="nil"/>
              <w:right w:val="nil"/>
            </w:tcBorders>
            <w:shd w:val="clear" w:color="auto" w:fill="auto"/>
            <w:noWrap/>
            <w:vAlign w:val="center"/>
          </w:tcPr>
          <w:p w14:paraId="590A7D2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454</w:t>
            </w:r>
          </w:p>
        </w:tc>
        <w:tc>
          <w:tcPr>
            <w:tcW w:w="506" w:type="pct"/>
            <w:tcBorders>
              <w:top w:val="nil"/>
              <w:left w:val="nil"/>
              <w:bottom w:val="nil"/>
              <w:right w:val="nil"/>
            </w:tcBorders>
            <w:shd w:val="clear" w:color="auto" w:fill="auto"/>
            <w:noWrap/>
            <w:vAlign w:val="center"/>
          </w:tcPr>
          <w:p w14:paraId="026F1DD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017</w:t>
            </w:r>
          </w:p>
        </w:tc>
      </w:tr>
      <w:tr w14:paraId="218D8139">
        <w:tblPrEx>
          <w:tblCellMar>
            <w:top w:w="0" w:type="dxa"/>
            <w:left w:w="108" w:type="dxa"/>
            <w:bottom w:w="0" w:type="dxa"/>
            <w:right w:w="108" w:type="dxa"/>
          </w:tblCellMar>
        </w:tblPrEx>
        <w:trPr>
          <w:trHeight w:val="270" w:hRule="atLeast"/>
          <w:jc w:val="center"/>
        </w:trPr>
        <w:tc>
          <w:tcPr>
            <w:tcW w:w="686" w:type="pct"/>
            <w:vMerge w:val="continue"/>
            <w:tcBorders>
              <w:top w:val="nil"/>
              <w:left w:val="nil"/>
              <w:bottom w:val="single" w:color="000000" w:sz="8" w:space="0"/>
              <w:right w:val="nil"/>
            </w:tcBorders>
            <w:shd w:val="clear" w:color="auto" w:fill="auto"/>
            <w:noWrap/>
            <w:vAlign w:val="center"/>
          </w:tcPr>
          <w:p w14:paraId="28E08EE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single" w:color="000000" w:sz="8" w:space="0"/>
              <w:right w:val="nil"/>
            </w:tcBorders>
            <w:shd w:val="clear" w:color="auto" w:fill="auto"/>
            <w:noWrap/>
            <w:vAlign w:val="center"/>
          </w:tcPr>
          <w:p w14:paraId="49D6CC9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5072CDA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center"/>
          </w:tcPr>
          <w:p w14:paraId="5F48B75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274</w:t>
            </w:r>
          </w:p>
        </w:tc>
        <w:tc>
          <w:tcPr>
            <w:tcW w:w="506" w:type="pct"/>
            <w:tcBorders>
              <w:top w:val="nil"/>
              <w:left w:val="nil"/>
              <w:bottom w:val="nil"/>
              <w:right w:val="nil"/>
            </w:tcBorders>
            <w:shd w:val="clear" w:color="auto" w:fill="auto"/>
            <w:noWrap/>
            <w:vAlign w:val="center"/>
          </w:tcPr>
          <w:p w14:paraId="03AD7FF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3213AD0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274</w:t>
            </w:r>
          </w:p>
        </w:tc>
        <w:tc>
          <w:tcPr>
            <w:tcW w:w="506" w:type="pct"/>
            <w:tcBorders>
              <w:top w:val="nil"/>
              <w:left w:val="nil"/>
              <w:bottom w:val="nil"/>
              <w:right w:val="nil"/>
            </w:tcBorders>
            <w:shd w:val="clear" w:color="auto" w:fill="auto"/>
            <w:noWrap/>
            <w:vAlign w:val="center"/>
          </w:tcPr>
          <w:p w14:paraId="37E2C90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009</w:t>
            </w:r>
          </w:p>
        </w:tc>
        <w:tc>
          <w:tcPr>
            <w:tcW w:w="506" w:type="pct"/>
            <w:tcBorders>
              <w:top w:val="nil"/>
              <w:left w:val="nil"/>
              <w:bottom w:val="nil"/>
              <w:right w:val="nil"/>
            </w:tcBorders>
            <w:shd w:val="clear" w:color="auto" w:fill="auto"/>
            <w:noWrap/>
            <w:vAlign w:val="center"/>
          </w:tcPr>
          <w:p w14:paraId="1245F9D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924</w:t>
            </w:r>
          </w:p>
        </w:tc>
      </w:tr>
      <w:tr w14:paraId="51FB406F">
        <w:tblPrEx>
          <w:tblCellMar>
            <w:top w:w="0" w:type="dxa"/>
            <w:left w:w="108" w:type="dxa"/>
            <w:bottom w:w="0" w:type="dxa"/>
            <w:right w:w="108" w:type="dxa"/>
          </w:tblCellMar>
        </w:tblPrEx>
        <w:trPr>
          <w:trHeight w:val="285" w:hRule="atLeast"/>
          <w:jc w:val="center"/>
        </w:trPr>
        <w:tc>
          <w:tcPr>
            <w:tcW w:w="686" w:type="pct"/>
            <w:vMerge w:val="continue"/>
            <w:tcBorders>
              <w:top w:val="nil"/>
              <w:left w:val="nil"/>
              <w:bottom w:val="nil"/>
              <w:right w:val="nil"/>
            </w:tcBorders>
            <w:shd w:val="clear" w:color="auto" w:fill="auto"/>
            <w:noWrap/>
            <w:vAlign w:val="center"/>
          </w:tcPr>
          <w:p w14:paraId="4CA3275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vMerge w:val="continue"/>
            <w:tcBorders>
              <w:top w:val="nil"/>
              <w:left w:val="nil"/>
              <w:bottom w:val="nil"/>
              <w:right w:val="nil"/>
            </w:tcBorders>
            <w:shd w:val="clear" w:color="auto" w:fill="auto"/>
            <w:noWrap/>
            <w:vAlign w:val="center"/>
          </w:tcPr>
          <w:p w14:paraId="2A2856C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tcPr>
          <w:p w14:paraId="68969A10">
            <w:pPr>
              <w:pStyle w:val="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center"/>
          </w:tcPr>
          <w:p w14:paraId="74A13C5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4.</w:t>
            </w:r>
            <w:r>
              <w:rPr>
                <w:rFonts w:hint="eastAsia" w:ascii="Times New Roman" w:hAnsi="Times New Roman" w:eastAsia="宋体" w:cs="宋体"/>
                <w:color w:val="auto"/>
                <w:kern w:val="0"/>
                <w:sz w:val="21"/>
                <w:szCs w:val="24"/>
                <w:lang w:bidi="ar"/>
              </w:rPr>
              <w:t>305</w:t>
            </w:r>
          </w:p>
        </w:tc>
        <w:tc>
          <w:tcPr>
            <w:tcW w:w="506" w:type="pct"/>
            <w:tcBorders>
              <w:top w:val="nil"/>
              <w:left w:val="nil"/>
              <w:bottom w:val="nil"/>
              <w:right w:val="nil"/>
            </w:tcBorders>
            <w:shd w:val="clear" w:color="auto" w:fill="auto"/>
            <w:noWrap/>
            <w:vAlign w:val="center"/>
          </w:tcPr>
          <w:p w14:paraId="6895B2D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sz w:val="21"/>
                <w:szCs w:val="24"/>
                <w:lang w:val="en-US" w:eastAsia="zh-CN"/>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center"/>
          </w:tcPr>
          <w:p w14:paraId="51FAFA6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2.</w:t>
            </w:r>
            <w:r>
              <w:rPr>
                <w:rFonts w:hint="eastAsia" w:ascii="Times New Roman" w:hAnsi="Times New Roman" w:eastAsia="宋体" w:cs="宋体"/>
                <w:color w:val="auto"/>
                <w:kern w:val="0"/>
                <w:sz w:val="21"/>
                <w:szCs w:val="24"/>
                <w:lang w:bidi="ar"/>
              </w:rPr>
              <w:t>153</w:t>
            </w:r>
          </w:p>
        </w:tc>
        <w:tc>
          <w:tcPr>
            <w:tcW w:w="506" w:type="pct"/>
            <w:tcBorders>
              <w:top w:val="nil"/>
              <w:left w:val="nil"/>
              <w:bottom w:val="nil"/>
              <w:right w:val="nil"/>
            </w:tcBorders>
            <w:shd w:val="clear" w:color="auto" w:fill="auto"/>
            <w:noWrap/>
            <w:vAlign w:val="center"/>
          </w:tcPr>
          <w:p w14:paraId="246658B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479</w:t>
            </w:r>
          </w:p>
        </w:tc>
        <w:tc>
          <w:tcPr>
            <w:tcW w:w="506" w:type="pct"/>
            <w:tcBorders>
              <w:top w:val="nil"/>
              <w:left w:val="nil"/>
              <w:bottom w:val="nil"/>
              <w:right w:val="nil"/>
            </w:tcBorders>
            <w:shd w:val="clear" w:color="auto" w:fill="auto"/>
            <w:noWrap/>
            <w:vAlign w:val="center"/>
          </w:tcPr>
          <w:p w14:paraId="0566C0B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s="宋体"/>
                <w:color w:val="auto"/>
                <w:sz w:val="21"/>
                <w:szCs w:val="24"/>
              </w:rPr>
            </w:pPr>
            <w:r>
              <w:rPr>
                <w:rFonts w:hint="eastAsia" w:ascii="Times New Roman" w:hAnsi="Times New Roman" w:eastAsia="宋体" w:cs="宋体"/>
                <w:color w:val="auto"/>
                <w:kern w:val="0"/>
                <w:sz w:val="21"/>
                <w:szCs w:val="24"/>
                <w:lang w:eastAsia="zh-CN" w:bidi="ar"/>
              </w:rPr>
              <w:t>0.</w:t>
            </w:r>
            <w:r>
              <w:rPr>
                <w:rFonts w:hint="eastAsia" w:ascii="Times New Roman" w:hAnsi="Times New Roman" w:eastAsia="宋体" w:cs="宋体"/>
                <w:color w:val="auto"/>
                <w:kern w:val="0"/>
                <w:sz w:val="21"/>
                <w:szCs w:val="24"/>
                <w:lang w:bidi="ar"/>
              </w:rPr>
              <w:t>623</w:t>
            </w:r>
          </w:p>
        </w:tc>
      </w:tr>
      <w:tr w14:paraId="69F45BF4">
        <w:tblPrEx>
          <w:tblCellMar>
            <w:top w:w="0" w:type="dxa"/>
            <w:left w:w="108" w:type="dxa"/>
            <w:bottom w:w="0" w:type="dxa"/>
            <w:right w:w="108" w:type="dxa"/>
          </w:tblCellMar>
        </w:tblPrEx>
        <w:trPr>
          <w:trHeight w:val="478" w:hRule="atLeast"/>
          <w:jc w:val="center"/>
        </w:trPr>
        <w:tc>
          <w:tcPr>
            <w:tcW w:w="686" w:type="pct"/>
            <w:vMerge w:val="restart"/>
            <w:tcBorders>
              <w:top w:val="nil"/>
              <w:left w:val="nil"/>
              <w:right w:val="nil"/>
            </w:tcBorders>
            <w:shd w:val="clear" w:color="auto" w:fill="auto"/>
            <w:noWrap/>
            <w:vAlign w:val="center"/>
          </w:tcPr>
          <w:p w14:paraId="10AD7B97">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max</w:t>
            </w:r>
          </w:p>
        </w:tc>
        <w:tc>
          <w:tcPr>
            <w:tcW w:w="775" w:type="pct"/>
            <w:tcBorders>
              <w:top w:val="nil"/>
              <w:left w:val="nil"/>
              <w:bottom w:val="nil"/>
              <w:right w:val="nil"/>
            </w:tcBorders>
            <w:shd w:val="clear" w:color="auto" w:fill="auto"/>
            <w:noWrap/>
            <w:vAlign w:val="center"/>
          </w:tcPr>
          <w:p w14:paraId="03EF9D36">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vAlign w:val="top"/>
          </w:tcPr>
          <w:p w14:paraId="0E0A989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center"/>
          </w:tcPr>
          <w:p w14:paraId="10B391D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宋体"/>
                <w:i w:val="0"/>
                <w:iCs w:val="0"/>
                <w:color w:val="auto"/>
                <w:kern w:val="0"/>
                <w:sz w:val="21"/>
                <w:szCs w:val="24"/>
                <w:u w:val="none"/>
                <w:lang w:val="en-US" w:eastAsia="zh-CN" w:bidi="ar"/>
              </w:rPr>
            </w:pPr>
            <w:r>
              <w:rPr>
                <w:rFonts w:hint="eastAsia" w:ascii="Times New Roman" w:hAnsi="Times New Roman" w:eastAsia="宋体" w:cs="宋体"/>
                <w:i w:val="0"/>
                <w:iCs w:val="0"/>
                <w:color w:val="auto"/>
                <w:kern w:val="0"/>
                <w:sz w:val="21"/>
                <w:szCs w:val="24"/>
                <w:u w:val="none"/>
                <w:lang w:val="en-US" w:eastAsia="zh-CN" w:bidi="ar"/>
              </w:rPr>
              <w:t>1.876</w:t>
            </w:r>
          </w:p>
        </w:tc>
        <w:tc>
          <w:tcPr>
            <w:tcW w:w="506" w:type="pct"/>
            <w:tcBorders>
              <w:top w:val="nil"/>
              <w:left w:val="nil"/>
              <w:bottom w:val="nil"/>
              <w:right w:val="nil"/>
            </w:tcBorders>
            <w:shd w:val="clear" w:color="auto" w:fill="auto"/>
            <w:noWrap/>
            <w:vAlign w:val="center"/>
          </w:tcPr>
          <w:p w14:paraId="15544691">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宋体"/>
                <w:i w:val="0"/>
                <w:iCs w:val="0"/>
                <w:color w:val="auto"/>
                <w:kern w:val="0"/>
                <w:sz w:val="21"/>
                <w:szCs w:val="24"/>
                <w:u w:val="none"/>
                <w:lang w:val="en-US" w:eastAsia="zh-CN" w:bidi="ar"/>
              </w:rPr>
            </w:pPr>
            <w:r>
              <w:rPr>
                <w:rFonts w:hint="eastAsia" w:ascii="Times New Roman" w:hAnsi="Times New Roman" w:eastAsia="宋体" w:cs="宋体"/>
                <w:i w:val="0"/>
                <w:iCs w:val="0"/>
                <w:color w:val="auto"/>
                <w:kern w:val="0"/>
                <w:sz w:val="21"/>
                <w:szCs w:val="24"/>
                <w:u w:val="none"/>
                <w:lang w:val="en-US" w:eastAsia="zh-CN" w:bidi="ar"/>
              </w:rPr>
              <w:t>1.405</w:t>
            </w:r>
          </w:p>
        </w:tc>
        <w:tc>
          <w:tcPr>
            <w:tcW w:w="583" w:type="pct"/>
            <w:tcBorders>
              <w:top w:val="nil"/>
              <w:left w:val="nil"/>
              <w:bottom w:val="nil"/>
              <w:right w:val="nil"/>
            </w:tcBorders>
            <w:shd w:val="clear" w:color="auto" w:fill="auto"/>
            <w:noWrap/>
            <w:vAlign w:val="center"/>
          </w:tcPr>
          <w:p w14:paraId="158ADC8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imes New Roman" w:hAnsi="Times New Roman" w:eastAsia="宋体" w:cs="宋体"/>
                <w:i w:val="0"/>
                <w:iCs w:val="0"/>
                <w:color w:val="auto"/>
                <w:kern w:val="0"/>
                <w:sz w:val="21"/>
                <w:szCs w:val="24"/>
                <w:u w:val="none"/>
                <w:lang w:val="en-US" w:eastAsia="zh-CN" w:bidi="ar"/>
              </w:rPr>
            </w:pPr>
            <w:r>
              <w:rPr>
                <w:rFonts w:hint="eastAsia" w:ascii="Times New Roman" w:hAnsi="Times New Roman" w:eastAsia="宋体" w:cs="宋体"/>
                <w:i w:val="0"/>
                <w:iCs w:val="0"/>
                <w:color w:val="auto"/>
                <w:kern w:val="0"/>
                <w:sz w:val="21"/>
                <w:szCs w:val="24"/>
                <w:u w:val="none"/>
                <w:lang w:val="en-US" w:eastAsia="zh-CN" w:bidi="ar"/>
              </w:rPr>
              <w:t>1.335</w:t>
            </w:r>
          </w:p>
        </w:tc>
        <w:tc>
          <w:tcPr>
            <w:tcW w:w="506" w:type="pct"/>
            <w:tcBorders>
              <w:top w:val="nil"/>
              <w:left w:val="nil"/>
              <w:bottom w:val="nil"/>
              <w:right w:val="nil"/>
            </w:tcBorders>
            <w:shd w:val="clear" w:color="auto" w:fill="auto"/>
            <w:noWrap/>
            <w:vAlign w:val="center"/>
          </w:tcPr>
          <w:p w14:paraId="15EA9D7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i w:val="0"/>
                <w:iCs w:val="0"/>
                <w:color w:val="auto"/>
                <w:kern w:val="0"/>
                <w:sz w:val="21"/>
                <w:szCs w:val="24"/>
                <w:u w:val="none"/>
                <w:lang w:val="en-US" w:eastAsia="zh-CN" w:bidi="ar"/>
              </w:rPr>
              <w:t>1.143</w:t>
            </w:r>
          </w:p>
        </w:tc>
        <w:tc>
          <w:tcPr>
            <w:tcW w:w="506" w:type="pct"/>
            <w:tcBorders>
              <w:top w:val="nil"/>
              <w:left w:val="nil"/>
              <w:bottom w:val="nil"/>
              <w:right w:val="nil"/>
            </w:tcBorders>
            <w:shd w:val="clear" w:color="auto" w:fill="auto"/>
            <w:noWrap/>
            <w:vAlign w:val="center"/>
          </w:tcPr>
          <w:p w14:paraId="076402B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i w:val="0"/>
                <w:iCs w:val="0"/>
                <w:color w:val="auto"/>
                <w:kern w:val="0"/>
                <w:sz w:val="21"/>
                <w:szCs w:val="24"/>
                <w:u w:val="none"/>
                <w:lang w:val="en-US" w:eastAsia="zh-CN" w:bidi="ar"/>
              </w:rPr>
              <w:t>0.314</w:t>
            </w:r>
          </w:p>
        </w:tc>
      </w:tr>
      <w:tr w14:paraId="71CC3562">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7C4ED2C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5D27B1D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149363A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top"/>
          </w:tcPr>
          <w:p w14:paraId="6D54230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0.451</w:t>
            </w:r>
          </w:p>
        </w:tc>
        <w:tc>
          <w:tcPr>
            <w:tcW w:w="506" w:type="pct"/>
            <w:tcBorders>
              <w:top w:val="nil"/>
              <w:left w:val="nil"/>
              <w:bottom w:val="nil"/>
              <w:right w:val="nil"/>
            </w:tcBorders>
            <w:shd w:val="clear" w:color="auto" w:fill="auto"/>
            <w:noWrap/>
            <w:vAlign w:val="top"/>
          </w:tcPr>
          <w:p w14:paraId="3C7257D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44340F8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0.451</w:t>
            </w:r>
          </w:p>
        </w:tc>
        <w:tc>
          <w:tcPr>
            <w:tcW w:w="506" w:type="pct"/>
            <w:tcBorders>
              <w:top w:val="nil"/>
              <w:left w:val="nil"/>
              <w:bottom w:val="nil"/>
              <w:right w:val="nil"/>
            </w:tcBorders>
            <w:shd w:val="clear" w:color="auto" w:fill="auto"/>
            <w:noWrap/>
            <w:vAlign w:val="top"/>
          </w:tcPr>
          <w:p w14:paraId="26D467F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0.016</w:t>
            </w:r>
          </w:p>
        </w:tc>
        <w:tc>
          <w:tcPr>
            <w:tcW w:w="506" w:type="pct"/>
            <w:tcBorders>
              <w:top w:val="nil"/>
              <w:left w:val="nil"/>
              <w:bottom w:val="nil"/>
              <w:right w:val="nil"/>
            </w:tcBorders>
            <w:shd w:val="clear" w:color="auto" w:fill="auto"/>
            <w:noWrap/>
            <w:vAlign w:val="top"/>
          </w:tcPr>
          <w:p w14:paraId="31C8437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0.902</w:t>
            </w:r>
          </w:p>
        </w:tc>
      </w:tr>
      <w:tr w14:paraId="70B15E24">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65B4629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149717C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5895983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top"/>
          </w:tcPr>
          <w:p w14:paraId="0554243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0.63</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top"/>
          </w:tcPr>
          <w:p w14:paraId="0BACA48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1.405</w:t>
            </w:r>
          </w:p>
        </w:tc>
        <w:tc>
          <w:tcPr>
            <w:tcW w:w="583" w:type="pct"/>
            <w:tcBorders>
              <w:top w:val="nil"/>
              <w:left w:val="nil"/>
              <w:bottom w:val="nil"/>
              <w:right w:val="nil"/>
            </w:tcBorders>
            <w:shd w:val="clear" w:color="auto" w:fill="auto"/>
            <w:noWrap/>
            <w:vAlign w:val="top"/>
          </w:tcPr>
          <w:p w14:paraId="694DF1C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0.448</w:t>
            </w:r>
          </w:p>
        </w:tc>
        <w:tc>
          <w:tcPr>
            <w:tcW w:w="506" w:type="pct"/>
            <w:tcBorders>
              <w:top w:val="nil"/>
              <w:left w:val="nil"/>
              <w:bottom w:val="nil"/>
              <w:right w:val="nil"/>
            </w:tcBorders>
            <w:shd w:val="clear" w:color="auto" w:fill="auto"/>
            <w:noWrap/>
            <w:vAlign w:val="top"/>
          </w:tcPr>
          <w:p w14:paraId="0AE475B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0.383</w:t>
            </w:r>
          </w:p>
        </w:tc>
        <w:tc>
          <w:tcPr>
            <w:tcW w:w="506" w:type="pct"/>
            <w:tcBorders>
              <w:top w:val="nil"/>
              <w:left w:val="nil"/>
              <w:bottom w:val="nil"/>
              <w:right w:val="nil"/>
            </w:tcBorders>
            <w:shd w:val="clear" w:color="auto" w:fill="auto"/>
            <w:noWrap/>
            <w:vAlign w:val="top"/>
          </w:tcPr>
          <w:p w14:paraId="19150CF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0.611</w:t>
            </w:r>
          </w:p>
        </w:tc>
      </w:tr>
      <w:tr w14:paraId="471D0CC2">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00BD971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366780FB">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vAlign w:val="top"/>
          </w:tcPr>
          <w:p w14:paraId="14127B0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top"/>
          </w:tcPr>
          <w:p w14:paraId="030894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1.261</w:t>
            </w:r>
          </w:p>
        </w:tc>
        <w:tc>
          <w:tcPr>
            <w:tcW w:w="506" w:type="pct"/>
            <w:tcBorders>
              <w:top w:val="nil"/>
              <w:left w:val="nil"/>
              <w:bottom w:val="nil"/>
              <w:right w:val="nil"/>
            </w:tcBorders>
            <w:shd w:val="clear" w:color="auto" w:fill="auto"/>
            <w:noWrap/>
            <w:vAlign w:val="top"/>
          </w:tcPr>
          <w:p w14:paraId="0A081CA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31638BB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0.631</w:t>
            </w:r>
          </w:p>
        </w:tc>
        <w:tc>
          <w:tcPr>
            <w:tcW w:w="506" w:type="pct"/>
            <w:tcBorders>
              <w:top w:val="nil"/>
              <w:left w:val="nil"/>
              <w:bottom w:val="nil"/>
              <w:right w:val="nil"/>
            </w:tcBorders>
            <w:shd w:val="clear" w:color="auto" w:fill="auto"/>
            <w:noWrap/>
            <w:vAlign w:val="top"/>
          </w:tcPr>
          <w:p w14:paraId="7DB9401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0.722</w:t>
            </w:r>
          </w:p>
        </w:tc>
        <w:tc>
          <w:tcPr>
            <w:tcW w:w="506" w:type="pct"/>
            <w:tcBorders>
              <w:top w:val="nil"/>
              <w:left w:val="nil"/>
              <w:bottom w:val="nil"/>
              <w:right w:val="nil"/>
            </w:tcBorders>
            <w:shd w:val="clear" w:color="auto" w:fill="auto"/>
            <w:noWrap/>
            <w:vAlign w:val="top"/>
          </w:tcPr>
          <w:p w14:paraId="3E106AF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0.491</w:t>
            </w:r>
          </w:p>
        </w:tc>
      </w:tr>
      <w:tr w14:paraId="0773BF00">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085B4BAD">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6C339B3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264FE69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top"/>
          </w:tcPr>
          <w:p w14:paraId="5420BDB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5.405</w:t>
            </w:r>
          </w:p>
        </w:tc>
        <w:tc>
          <w:tcPr>
            <w:tcW w:w="506" w:type="pct"/>
            <w:tcBorders>
              <w:top w:val="nil"/>
              <w:left w:val="nil"/>
              <w:bottom w:val="nil"/>
              <w:right w:val="nil"/>
            </w:tcBorders>
            <w:shd w:val="clear" w:color="auto" w:fill="auto"/>
            <w:noWrap/>
            <w:vAlign w:val="top"/>
          </w:tcPr>
          <w:p w14:paraId="6E54815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1B37675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5.405</w:t>
            </w:r>
          </w:p>
        </w:tc>
        <w:tc>
          <w:tcPr>
            <w:tcW w:w="506" w:type="pct"/>
            <w:tcBorders>
              <w:top w:val="nil"/>
              <w:left w:val="nil"/>
              <w:bottom w:val="nil"/>
              <w:right w:val="nil"/>
            </w:tcBorders>
            <w:shd w:val="clear" w:color="auto" w:fill="auto"/>
            <w:noWrap/>
            <w:vAlign w:val="top"/>
          </w:tcPr>
          <w:p w14:paraId="7C0BDE9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0.155</w:t>
            </w:r>
          </w:p>
        </w:tc>
        <w:tc>
          <w:tcPr>
            <w:tcW w:w="506" w:type="pct"/>
            <w:tcBorders>
              <w:top w:val="nil"/>
              <w:left w:val="nil"/>
              <w:bottom w:val="nil"/>
              <w:right w:val="nil"/>
            </w:tcBorders>
            <w:shd w:val="clear" w:color="auto" w:fill="auto"/>
            <w:noWrap/>
            <w:vAlign w:val="top"/>
          </w:tcPr>
          <w:p w14:paraId="79CFD83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0.697</w:t>
            </w:r>
          </w:p>
        </w:tc>
      </w:tr>
      <w:tr w14:paraId="09A8E213">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4B4F732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7818044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3D42C1DD">
            <w:pPr>
              <w:pStyle w:val="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top"/>
          </w:tcPr>
          <w:p w14:paraId="2FA20E3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1.503</w:t>
            </w:r>
          </w:p>
        </w:tc>
        <w:tc>
          <w:tcPr>
            <w:tcW w:w="506" w:type="pct"/>
            <w:tcBorders>
              <w:top w:val="nil"/>
              <w:left w:val="nil"/>
              <w:bottom w:val="nil"/>
              <w:right w:val="nil"/>
            </w:tcBorders>
            <w:shd w:val="clear" w:color="auto" w:fill="auto"/>
            <w:noWrap/>
            <w:vAlign w:val="top"/>
          </w:tcPr>
          <w:p w14:paraId="372598A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1.936</w:t>
            </w:r>
          </w:p>
        </w:tc>
        <w:tc>
          <w:tcPr>
            <w:tcW w:w="583" w:type="pct"/>
            <w:tcBorders>
              <w:top w:val="nil"/>
              <w:left w:val="nil"/>
              <w:bottom w:val="nil"/>
              <w:right w:val="nil"/>
            </w:tcBorders>
            <w:shd w:val="clear" w:color="auto" w:fill="auto"/>
            <w:noWrap/>
            <w:vAlign w:val="top"/>
          </w:tcPr>
          <w:p w14:paraId="2052D4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0.776</w:t>
            </w:r>
          </w:p>
        </w:tc>
        <w:tc>
          <w:tcPr>
            <w:tcW w:w="506" w:type="pct"/>
            <w:tcBorders>
              <w:top w:val="nil"/>
              <w:left w:val="nil"/>
              <w:bottom w:val="nil"/>
              <w:right w:val="nil"/>
            </w:tcBorders>
            <w:shd w:val="clear" w:color="auto" w:fill="auto"/>
            <w:noWrap/>
            <w:vAlign w:val="top"/>
          </w:tcPr>
          <w:p w14:paraId="0A1AAC6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0.86</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top"/>
          </w:tcPr>
          <w:p w14:paraId="55673D2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0.427</w:t>
            </w:r>
          </w:p>
        </w:tc>
      </w:tr>
      <w:tr w14:paraId="0B2B4D20">
        <w:tblPrEx>
          <w:tblCellMar>
            <w:top w:w="0" w:type="dxa"/>
            <w:left w:w="108" w:type="dxa"/>
            <w:bottom w:w="0" w:type="dxa"/>
            <w:right w:w="108" w:type="dxa"/>
          </w:tblCellMar>
        </w:tblPrEx>
        <w:trPr>
          <w:trHeight w:val="285" w:hRule="atLeast"/>
          <w:jc w:val="center"/>
        </w:trPr>
        <w:tc>
          <w:tcPr>
            <w:tcW w:w="686" w:type="pct"/>
            <w:vMerge w:val="restart"/>
            <w:tcBorders>
              <w:left w:val="nil"/>
              <w:right w:val="nil"/>
            </w:tcBorders>
            <w:shd w:val="clear" w:color="auto" w:fill="auto"/>
            <w:noWrap/>
            <w:vAlign w:val="center"/>
          </w:tcPr>
          <w:p w14:paraId="3A72713E">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ROM</w:t>
            </w:r>
          </w:p>
        </w:tc>
        <w:tc>
          <w:tcPr>
            <w:tcW w:w="775" w:type="pct"/>
            <w:tcBorders>
              <w:top w:val="nil"/>
              <w:left w:val="nil"/>
              <w:bottom w:val="nil"/>
              <w:right w:val="nil"/>
            </w:tcBorders>
            <w:shd w:val="clear" w:color="auto" w:fill="auto"/>
            <w:noWrap/>
            <w:vAlign w:val="center"/>
          </w:tcPr>
          <w:p w14:paraId="77A2BBAA">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852" w:type="pct"/>
            <w:tcBorders>
              <w:top w:val="nil"/>
              <w:left w:val="nil"/>
              <w:bottom w:val="nil"/>
              <w:right w:val="nil"/>
            </w:tcBorders>
            <w:shd w:val="clear" w:color="auto" w:fill="auto"/>
            <w:vAlign w:val="top"/>
          </w:tcPr>
          <w:p w14:paraId="7926C48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top"/>
          </w:tcPr>
          <w:p w14:paraId="039524A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3.782</w:t>
            </w:r>
          </w:p>
        </w:tc>
        <w:tc>
          <w:tcPr>
            <w:tcW w:w="506" w:type="pct"/>
            <w:tcBorders>
              <w:top w:val="nil"/>
              <w:left w:val="nil"/>
              <w:bottom w:val="nil"/>
              <w:right w:val="nil"/>
            </w:tcBorders>
            <w:shd w:val="clear" w:color="auto" w:fill="auto"/>
            <w:noWrap/>
            <w:vAlign w:val="top"/>
          </w:tcPr>
          <w:p w14:paraId="51EDD82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0342EBF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1.891</w:t>
            </w:r>
          </w:p>
        </w:tc>
        <w:tc>
          <w:tcPr>
            <w:tcW w:w="506" w:type="pct"/>
            <w:tcBorders>
              <w:top w:val="nil"/>
              <w:left w:val="nil"/>
              <w:bottom w:val="nil"/>
              <w:right w:val="nil"/>
            </w:tcBorders>
            <w:shd w:val="clear" w:color="auto" w:fill="auto"/>
            <w:noWrap/>
            <w:vAlign w:val="top"/>
          </w:tcPr>
          <w:p w14:paraId="253C912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1.055</w:t>
            </w:r>
          </w:p>
        </w:tc>
        <w:tc>
          <w:tcPr>
            <w:tcW w:w="506" w:type="pct"/>
            <w:tcBorders>
              <w:top w:val="nil"/>
              <w:left w:val="nil"/>
              <w:bottom w:val="nil"/>
              <w:right w:val="nil"/>
            </w:tcBorders>
            <w:shd w:val="clear" w:color="auto" w:fill="auto"/>
            <w:noWrap/>
            <w:vAlign w:val="top"/>
          </w:tcPr>
          <w:p w14:paraId="47A1325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0.356</w:t>
            </w:r>
          </w:p>
        </w:tc>
      </w:tr>
      <w:tr w14:paraId="60E90F94">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66FBE66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6DA7212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07591EE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top"/>
          </w:tcPr>
          <w:p w14:paraId="27D561F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14.151</w:t>
            </w:r>
          </w:p>
        </w:tc>
        <w:tc>
          <w:tcPr>
            <w:tcW w:w="506" w:type="pct"/>
            <w:tcBorders>
              <w:top w:val="nil"/>
              <w:left w:val="nil"/>
              <w:bottom w:val="nil"/>
              <w:right w:val="nil"/>
            </w:tcBorders>
            <w:shd w:val="clear" w:color="auto" w:fill="auto"/>
            <w:noWrap/>
            <w:vAlign w:val="top"/>
          </w:tcPr>
          <w:p w14:paraId="4B79E67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03F7C6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14.151</w:t>
            </w:r>
          </w:p>
        </w:tc>
        <w:tc>
          <w:tcPr>
            <w:tcW w:w="506" w:type="pct"/>
            <w:tcBorders>
              <w:top w:val="nil"/>
              <w:left w:val="nil"/>
              <w:bottom w:val="nil"/>
              <w:right w:val="nil"/>
            </w:tcBorders>
            <w:shd w:val="clear" w:color="auto" w:fill="auto"/>
            <w:noWrap/>
            <w:vAlign w:val="top"/>
          </w:tcPr>
          <w:p w14:paraId="1CF00EB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0.288</w:t>
            </w:r>
          </w:p>
        </w:tc>
        <w:tc>
          <w:tcPr>
            <w:tcW w:w="506" w:type="pct"/>
            <w:tcBorders>
              <w:top w:val="nil"/>
              <w:left w:val="nil"/>
              <w:bottom w:val="nil"/>
              <w:right w:val="nil"/>
            </w:tcBorders>
            <w:shd w:val="clear" w:color="auto" w:fill="auto"/>
            <w:noWrap/>
            <w:vAlign w:val="top"/>
          </w:tcPr>
          <w:p w14:paraId="537D7FA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0.597</w:t>
            </w:r>
          </w:p>
        </w:tc>
      </w:tr>
      <w:tr w14:paraId="5BEE1FA5">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1B40CA1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0E016E3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7C73376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组内*组间</w:t>
            </w:r>
          </w:p>
        </w:tc>
        <w:tc>
          <w:tcPr>
            <w:tcW w:w="583" w:type="pct"/>
            <w:tcBorders>
              <w:top w:val="nil"/>
              <w:left w:val="nil"/>
              <w:bottom w:val="nil"/>
              <w:right w:val="nil"/>
            </w:tcBorders>
            <w:shd w:val="clear" w:color="auto" w:fill="auto"/>
            <w:noWrap/>
            <w:vAlign w:val="top"/>
          </w:tcPr>
          <w:p w14:paraId="2E640F8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1.301</w:t>
            </w:r>
          </w:p>
        </w:tc>
        <w:tc>
          <w:tcPr>
            <w:tcW w:w="506" w:type="pct"/>
            <w:tcBorders>
              <w:top w:val="nil"/>
              <w:left w:val="nil"/>
              <w:bottom w:val="nil"/>
              <w:right w:val="nil"/>
            </w:tcBorders>
            <w:shd w:val="clear" w:color="auto" w:fill="auto"/>
            <w:noWrap/>
            <w:vAlign w:val="top"/>
          </w:tcPr>
          <w:p w14:paraId="595002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026AD2E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0.65</w:t>
            </w:r>
            <w:r>
              <w:rPr>
                <w:rFonts w:hint="eastAsia" w:ascii="Times New Roman" w:hAnsi="Times New Roman" w:eastAsia="宋体" w:cs="宋体"/>
                <w:color w:val="auto"/>
                <w:kern w:val="0"/>
                <w:sz w:val="21"/>
                <w:szCs w:val="24"/>
                <w:lang w:val="en-US" w:eastAsia="zh-CN" w:bidi="ar"/>
              </w:rPr>
              <w:t>0</w:t>
            </w:r>
          </w:p>
        </w:tc>
        <w:tc>
          <w:tcPr>
            <w:tcW w:w="506" w:type="pct"/>
            <w:tcBorders>
              <w:top w:val="nil"/>
              <w:left w:val="nil"/>
              <w:bottom w:val="nil"/>
              <w:right w:val="nil"/>
            </w:tcBorders>
            <w:shd w:val="clear" w:color="auto" w:fill="auto"/>
            <w:noWrap/>
            <w:vAlign w:val="top"/>
          </w:tcPr>
          <w:p w14:paraId="1C2C74D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0.363</w:t>
            </w:r>
          </w:p>
        </w:tc>
        <w:tc>
          <w:tcPr>
            <w:tcW w:w="506" w:type="pct"/>
            <w:tcBorders>
              <w:top w:val="nil"/>
              <w:left w:val="nil"/>
              <w:bottom w:val="nil"/>
              <w:right w:val="nil"/>
            </w:tcBorders>
            <w:shd w:val="clear" w:color="auto" w:fill="auto"/>
            <w:noWrap/>
            <w:vAlign w:val="top"/>
          </w:tcPr>
          <w:p w14:paraId="0D2D0F0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0.698</w:t>
            </w:r>
          </w:p>
        </w:tc>
      </w:tr>
      <w:tr w14:paraId="53721B17">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798A094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21DABB0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852" w:type="pct"/>
            <w:tcBorders>
              <w:top w:val="nil"/>
              <w:left w:val="nil"/>
              <w:bottom w:val="nil"/>
              <w:right w:val="nil"/>
            </w:tcBorders>
            <w:shd w:val="clear" w:color="auto" w:fill="auto"/>
            <w:vAlign w:val="top"/>
          </w:tcPr>
          <w:p w14:paraId="6BD70DD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w:t>
            </w:r>
          </w:p>
        </w:tc>
        <w:tc>
          <w:tcPr>
            <w:tcW w:w="583" w:type="pct"/>
            <w:tcBorders>
              <w:top w:val="nil"/>
              <w:left w:val="nil"/>
              <w:bottom w:val="nil"/>
              <w:right w:val="nil"/>
            </w:tcBorders>
            <w:shd w:val="clear" w:color="auto" w:fill="auto"/>
            <w:noWrap/>
            <w:vAlign w:val="top"/>
          </w:tcPr>
          <w:p w14:paraId="6B30E79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6.808</w:t>
            </w:r>
          </w:p>
        </w:tc>
        <w:tc>
          <w:tcPr>
            <w:tcW w:w="506" w:type="pct"/>
            <w:tcBorders>
              <w:top w:val="nil"/>
              <w:left w:val="nil"/>
              <w:bottom w:val="nil"/>
              <w:right w:val="nil"/>
            </w:tcBorders>
            <w:shd w:val="clear" w:color="auto" w:fill="auto"/>
            <w:noWrap/>
            <w:vAlign w:val="top"/>
          </w:tcPr>
          <w:p w14:paraId="1D6BF9D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eastAsia="zh-CN" w:bidi="ar"/>
              </w:rPr>
              <w:t>.</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02E20F8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3.404</w:t>
            </w:r>
          </w:p>
        </w:tc>
        <w:tc>
          <w:tcPr>
            <w:tcW w:w="506" w:type="pct"/>
            <w:tcBorders>
              <w:top w:val="nil"/>
              <w:left w:val="nil"/>
              <w:bottom w:val="nil"/>
              <w:right w:val="nil"/>
            </w:tcBorders>
            <w:shd w:val="clear" w:color="auto" w:fill="auto"/>
            <w:noWrap/>
            <w:vAlign w:val="top"/>
          </w:tcPr>
          <w:p w14:paraId="7FCA2F0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1.337</w:t>
            </w:r>
          </w:p>
        </w:tc>
        <w:tc>
          <w:tcPr>
            <w:tcW w:w="506" w:type="pct"/>
            <w:tcBorders>
              <w:top w:val="nil"/>
              <w:left w:val="nil"/>
              <w:bottom w:val="nil"/>
              <w:right w:val="nil"/>
            </w:tcBorders>
            <w:shd w:val="clear" w:color="auto" w:fill="auto"/>
            <w:noWrap/>
            <w:vAlign w:val="top"/>
          </w:tcPr>
          <w:p w14:paraId="019CDD2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0.273</w:t>
            </w:r>
          </w:p>
        </w:tc>
      </w:tr>
      <w:tr w14:paraId="56BB30CE">
        <w:tblPrEx>
          <w:tblCellMar>
            <w:top w:w="0" w:type="dxa"/>
            <w:left w:w="108" w:type="dxa"/>
            <w:bottom w:w="0" w:type="dxa"/>
            <w:right w:w="108" w:type="dxa"/>
          </w:tblCellMar>
        </w:tblPrEx>
        <w:trPr>
          <w:trHeight w:val="285" w:hRule="atLeast"/>
          <w:jc w:val="center"/>
        </w:trPr>
        <w:tc>
          <w:tcPr>
            <w:tcW w:w="686" w:type="pct"/>
            <w:vMerge w:val="continue"/>
            <w:tcBorders>
              <w:left w:val="nil"/>
              <w:right w:val="nil"/>
            </w:tcBorders>
            <w:shd w:val="clear" w:color="auto" w:fill="auto"/>
            <w:noWrap/>
            <w:vAlign w:val="center"/>
          </w:tcPr>
          <w:p w14:paraId="49253F08">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nil"/>
              <w:right w:val="nil"/>
            </w:tcBorders>
            <w:shd w:val="clear" w:color="auto" w:fill="auto"/>
            <w:noWrap/>
            <w:vAlign w:val="center"/>
          </w:tcPr>
          <w:p w14:paraId="154753CD">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nil"/>
              <w:right w:val="nil"/>
            </w:tcBorders>
            <w:shd w:val="clear" w:color="auto" w:fill="auto"/>
            <w:vAlign w:val="top"/>
          </w:tcPr>
          <w:p w14:paraId="47DF76E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组间</w:t>
            </w:r>
          </w:p>
        </w:tc>
        <w:tc>
          <w:tcPr>
            <w:tcW w:w="583" w:type="pct"/>
            <w:tcBorders>
              <w:top w:val="nil"/>
              <w:left w:val="nil"/>
              <w:bottom w:val="nil"/>
              <w:right w:val="nil"/>
            </w:tcBorders>
            <w:shd w:val="clear" w:color="auto" w:fill="auto"/>
            <w:noWrap/>
            <w:vAlign w:val="top"/>
          </w:tcPr>
          <w:p w14:paraId="7693126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11.352</w:t>
            </w:r>
          </w:p>
        </w:tc>
        <w:tc>
          <w:tcPr>
            <w:tcW w:w="506" w:type="pct"/>
            <w:tcBorders>
              <w:top w:val="nil"/>
              <w:left w:val="nil"/>
              <w:bottom w:val="nil"/>
              <w:right w:val="nil"/>
            </w:tcBorders>
            <w:shd w:val="clear" w:color="auto" w:fill="auto"/>
            <w:noWrap/>
            <w:vAlign w:val="top"/>
          </w:tcPr>
          <w:p w14:paraId="7BA2309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1</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nil"/>
              <w:right w:val="nil"/>
            </w:tcBorders>
            <w:shd w:val="clear" w:color="auto" w:fill="auto"/>
            <w:noWrap/>
            <w:vAlign w:val="top"/>
          </w:tcPr>
          <w:p w14:paraId="334713D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11.352</w:t>
            </w:r>
          </w:p>
        </w:tc>
        <w:tc>
          <w:tcPr>
            <w:tcW w:w="506" w:type="pct"/>
            <w:tcBorders>
              <w:top w:val="nil"/>
              <w:left w:val="nil"/>
              <w:bottom w:val="nil"/>
              <w:right w:val="nil"/>
            </w:tcBorders>
            <w:shd w:val="clear" w:color="auto" w:fill="auto"/>
            <w:noWrap/>
            <w:vAlign w:val="top"/>
          </w:tcPr>
          <w:p w14:paraId="32C01E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0.253</w:t>
            </w:r>
          </w:p>
        </w:tc>
        <w:tc>
          <w:tcPr>
            <w:tcW w:w="506" w:type="pct"/>
            <w:tcBorders>
              <w:top w:val="nil"/>
              <w:left w:val="nil"/>
              <w:bottom w:val="nil"/>
              <w:right w:val="nil"/>
            </w:tcBorders>
            <w:shd w:val="clear" w:color="auto" w:fill="auto"/>
            <w:noWrap/>
            <w:vAlign w:val="top"/>
          </w:tcPr>
          <w:p w14:paraId="7EEA946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0.62</w:t>
            </w:r>
            <w:r>
              <w:rPr>
                <w:rFonts w:hint="eastAsia" w:ascii="Times New Roman" w:hAnsi="Times New Roman" w:eastAsia="宋体" w:cs="宋体"/>
                <w:color w:val="auto"/>
                <w:kern w:val="0"/>
                <w:sz w:val="21"/>
                <w:szCs w:val="24"/>
                <w:lang w:val="en-US" w:eastAsia="zh-CN" w:bidi="ar"/>
              </w:rPr>
              <w:t>0</w:t>
            </w:r>
          </w:p>
        </w:tc>
      </w:tr>
      <w:tr w14:paraId="01AD5474">
        <w:tblPrEx>
          <w:tblCellMar>
            <w:top w:w="0" w:type="dxa"/>
            <w:left w:w="108" w:type="dxa"/>
            <w:bottom w:w="0" w:type="dxa"/>
            <w:right w:w="108" w:type="dxa"/>
          </w:tblCellMar>
        </w:tblPrEx>
        <w:trPr>
          <w:trHeight w:val="285" w:hRule="atLeast"/>
          <w:jc w:val="center"/>
        </w:trPr>
        <w:tc>
          <w:tcPr>
            <w:tcW w:w="686" w:type="pct"/>
            <w:vMerge w:val="continue"/>
            <w:tcBorders>
              <w:left w:val="nil"/>
              <w:bottom w:val="single" w:color="000000" w:sz="8" w:space="0"/>
              <w:right w:val="nil"/>
            </w:tcBorders>
            <w:shd w:val="clear" w:color="auto" w:fill="auto"/>
            <w:noWrap/>
            <w:vAlign w:val="center"/>
          </w:tcPr>
          <w:p w14:paraId="58D4D17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75" w:type="pct"/>
            <w:tcBorders>
              <w:top w:val="nil"/>
              <w:left w:val="nil"/>
              <w:bottom w:val="single" w:color="000000" w:sz="8" w:space="0"/>
              <w:right w:val="nil"/>
            </w:tcBorders>
            <w:shd w:val="clear" w:color="auto" w:fill="auto"/>
            <w:noWrap/>
            <w:vAlign w:val="center"/>
          </w:tcPr>
          <w:p w14:paraId="6253676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852" w:type="pct"/>
            <w:tcBorders>
              <w:top w:val="nil"/>
              <w:left w:val="nil"/>
              <w:bottom w:val="single" w:color="000000" w:sz="8" w:space="0"/>
              <w:right w:val="nil"/>
            </w:tcBorders>
            <w:shd w:val="clear" w:color="auto" w:fill="auto"/>
            <w:vAlign w:val="top"/>
          </w:tcPr>
          <w:p w14:paraId="0C0075E5">
            <w:pPr>
              <w:pStyle w:val="2"/>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组内*组间</w:t>
            </w:r>
          </w:p>
        </w:tc>
        <w:tc>
          <w:tcPr>
            <w:tcW w:w="583" w:type="pct"/>
            <w:tcBorders>
              <w:top w:val="nil"/>
              <w:left w:val="nil"/>
              <w:bottom w:val="single" w:color="000000" w:sz="8" w:space="0"/>
              <w:right w:val="nil"/>
            </w:tcBorders>
            <w:shd w:val="clear" w:color="auto" w:fill="auto"/>
            <w:noWrap/>
            <w:vAlign w:val="top"/>
          </w:tcPr>
          <w:p w14:paraId="3FAE913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0.679</w:t>
            </w:r>
          </w:p>
        </w:tc>
        <w:tc>
          <w:tcPr>
            <w:tcW w:w="506" w:type="pct"/>
            <w:tcBorders>
              <w:top w:val="nil"/>
              <w:left w:val="nil"/>
              <w:bottom w:val="single" w:color="000000" w:sz="8" w:space="0"/>
              <w:right w:val="nil"/>
            </w:tcBorders>
            <w:shd w:val="clear" w:color="auto" w:fill="auto"/>
            <w:noWrap/>
            <w:vAlign w:val="top"/>
          </w:tcPr>
          <w:p w14:paraId="4424F51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s="宋体"/>
                <w:color w:val="auto"/>
                <w:kern w:val="0"/>
                <w:sz w:val="21"/>
                <w:szCs w:val="24"/>
                <w:lang w:bidi="ar"/>
              </w:rPr>
            </w:pPr>
            <w:r>
              <w:rPr>
                <w:rFonts w:hint="eastAsia" w:ascii="Times New Roman" w:hAnsi="Times New Roman" w:eastAsia="宋体" w:cs="宋体"/>
                <w:color w:val="auto"/>
                <w:kern w:val="0"/>
                <w:sz w:val="21"/>
                <w:szCs w:val="24"/>
                <w:lang w:bidi="ar"/>
              </w:rPr>
              <w:t>2</w:t>
            </w:r>
            <w:r>
              <w:rPr>
                <w:rFonts w:hint="eastAsia" w:ascii="Times New Roman" w:hAnsi="Times New Roman" w:eastAsia="宋体" w:cs="宋体"/>
                <w:color w:val="auto"/>
                <w:kern w:val="0"/>
                <w:sz w:val="21"/>
                <w:szCs w:val="24"/>
                <w:lang w:val="en-US" w:eastAsia="zh-CN" w:bidi="ar"/>
              </w:rPr>
              <w:t>.000</w:t>
            </w:r>
          </w:p>
        </w:tc>
        <w:tc>
          <w:tcPr>
            <w:tcW w:w="583" w:type="pct"/>
            <w:tcBorders>
              <w:top w:val="nil"/>
              <w:left w:val="nil"/>
              <w:bottom w:val="single" w:color="000000" w:sz="8" w:space="0"/>
              <w:right w:val="nil"/>
            </w:tcBorders>
            <w:shd w:val="clear" w:color="auto" w:fill="auto"/>
            <w:noWrap/>
            <w:vAlign w:val="top"/>
          </w:tcPr>
          <w:p w14:paraId="3C912D8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0.339</w:t>
            </w:r>
          </w:p>
        </w:tc>
        <w:tc>
          <w:tcPr>
            <w:tcW w:w="506" w:type="pct"/>
            <w:tcBorders>
              <w:top w:val="nil"/>
              <w:left w:val="nil"/>
              <w:bottom w:val="single" w:color="000000" w:sz="8" w:space="0"/>
              <w:right w:val="nil"/>
            </w:tcBorders>
            <w:shd w:val="clear" w:color="auto" w:fill="auto"/>
            <w:noWrap/>
            <w:vAlign w:val="top"/>
          </w:tcPr>
          <w:p w14:paraId="76EA110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0.133</w:t>
            </w:r>
          </w:p>
        </w:tc>
        <w:tc>
          <w:tcPr>
            <w:tcW w:w="506" w:type="pct"/>
            <w:tcBorders>
              <w:top w:val="nil"/>
              <w:left w:val="nil"/>
              <w:bottom w:val="single" w:color="000000" w:sz="8" w:space="0"/>
              <w:right w:val="nil"/>
            </w:tcBorders>
            <w:shd w:val="clear" w:color="auto" w:fill="auto"/>
            <w:noWrap/>
            <w:vAlign w:val="top"/>
          </w:tcPr>
          <w:p w14:paraId="7AD79A5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s="宋体"/>
                <w:color w:val="auto"/>
                <w:kern w:val="0"/>
                <w:sz w:val="21"/>
                <w:szCs w:val="24"/>
                <w:lang w:eastAsia="zh-CN" w:bidi="ar"/>
              </w:rPr>
            </w:pPr>
            <w:r>
              <w:rPr>
                <w:rFonts w:hint="eastAsia" w:ascii="Times New Roman" w:hAnsi="Times New Roman" w:eastAsia="宋体" w:cs="宋体"/>
                <w:color w:val="auto"/>
                <w:kern w:val="0"/>
                <w:sz w:val="21"/>
                <w:szCs w:val="24"/>
                <w:lang w:bidi="ar"/>
              </w:rPr>
              <w:t>0.876</w:t>
            </w:r>
          </w:p>
        </w:tc>
      </w:tr>
    </w:tbl>
    <w:p w14:paraId="5F50D88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kern w:val="0"/>
          <w:sz w:val="21"/>
          <w:szCs w:val="24"/>
        </w:rPr>
      </w:pPr>
    </w:p>
    <w:p w14:paraId="7223A40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kern w:val="0"/>
          <w:sz w:val="21"/>
          <w:szCs w:val="24"/>
        </w:rPr>
      </w:pPr>
      <w:r>
        <w:rPr>
          <w:rFonts w:ascii="Times New Roman" w:hAnsi="Times New Roman" w:eastAsia="宋体"/>
          <w:b/>
          <w:bCs/>
          <w:color w:val="auto"/>
          <w:kern w:val="0"/>
          <w:sz w:val="21"/>
          <w:szCs w:val="24"/>
        </w:rPr>
        <w:t>表</w:t>
      </w:r>
      <w:r>
        <w:rPr>
          <w:rFonts w:hint="eastAsia" w:ascii="Times New Roman" w:hAnsi="Times New Roman" w:eastAsia="宋体"/>
          <w:b/>
          <w:bCs/>
          <w:color w:val="auto"/>
          <w:kern w:val="0"/>
          <w:sz w:val="21"/>
          <w:szCs w:val="24"/>
        </w:rPr>
        <w:t>7</w:t>
      </w:r>
      <w:r>
        <w:rPr>
          <w:rFonts w:ascii="Times New Roman" w:hAnsi="Times New Roman" w:eastAsia="宋体"/>
          <w:color w:val="auto"/>
          <w:kern w:val="0"/>
          <w:sz w:val="21"/>
          <w:szCs w:val="24"/>
        </w:rPr>
        <w:t xml:space="preserve">  骨盆X轴和Z轴各指标组内重复测量方差分析结果</w:t>
      </w:r>
    </w:p>
    <w:tbl>
      <w:tblPr>
        <w:tblStyle w:val="10"/>
        <w:tblW w:w="4996" w:type="pct"/>
        <w:jc w:val="center"/>
        <w:tblLayout w:type="autofit"/>
        <w:tblCellMar>
          <w:top w:w="0" w:type="dxa"/>
          <w:left w:w="108" w:type="dxa"/>
          <w:bottom w:w="0" w:type="dxa"/>
          <w:right w:w="108" w:type="dxa"/>
        </w:tblCellMar>
      </w:tblPr>
      <w:tblGrid>
        <w:gridCol w:w="1290"/>
        <w:gridCol w:w="1464"/>
        <w:gridCol w:w="1763"/>
        <w:gridCol w:w="989"/>
        <w:gridCol w:w="858"/>
        <w:gridCol w:w="989"/>
        <w:gridCol w:w="941"/>
        <w:gridCol w:w="941"/>
      </w:tblGrid>
      <w:tr w14:paraId="1F4BF90A">
        <w:tblPrEx>
          <w:tblCellMar>
            <w:top w:w="0" w:type="dxa"/>
            <w:left w:w="108" w:type="dxa"/>
            <w:bottom w:w="0" w:type="dxa"/>
            <w:right w:w="108" w:type="dxa"/>
          </w:tblCellMar>
        </w:tblPrEx>
        <w:trPr>
          <w:trHeight w:val="285" w:hRule="atLeast"/>
          <w:jc w:val="center"/>
        </w:trPr>
        <w:tc>
          <w:tcPr>
            <w:tcW w:w="698" w:type="pct"/>
            <w:tcBorders>
              <w:top w:val="single" w:color="000000" w:sz="8" w:space="0"/>
              <w:left w:val="nil"/>
              <w:bottom w:val="single" w:color="000000" w:sz="8" w:space="0"/>
              <w:right w:val="nil"/>
            </w:tcBorders>
            <w:shd w:val="clear" w:color="auto" w:fill="auto"/>
            <w:vAlign w:val="top"/>
          </w:tcPr>
          <w:p w14:paraId="5C5803B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top"/>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val="en-US" w:eastAsia="zh-CN" w:bidi="ar"/>
              </w:rPr>
              <w:t>变量</w:t>
            </w:r>
          </w:p>
        </w:tc>
        <w:tc>
          <w:tcPr>
            <w:tcW w:w="792" w:type="pct"/>
            <w:tcBorders>
              <w:top w:val="single" w:color="000000" w:sz="8" w:space="0"/>
              <w:left w:val="nil"/>
              <w:bottom w:val="single" w:color="000000" w:sz="8" w:space="0"/>
              <w:right w:val="nil"/>
            </w:tcBorders>
            <w:shd w:val="clear" w:color="auto" w:fill="auto"/>
            <w:vAlign w:val="top"/>
          </w:tcPr>
          <w:p w14:paraId="3792A034">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top"/>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Cs w:val="24"/>
                <w:lang w:val="en-US" w:eastAsia="zh-CN" w:bidi="ar"/>
              </w:rPr>
              <w:t>侧别</w:t>
            </w:r>
          </w:p>
        </w:tc>
        <w:tc>
          <w:tcPr>
            <w:tcW w:w="954" w:type="pct"/>
            <w:tcBorders>
              <w:top w:val="single" w:color="000000" w:sz="8" w:space="0"/>
              <w:left w:val="nil"/>
              <w:bottom w:val="single" w:color="000000" w:sz="8" w:space="0"/>
              <w:right w:val="nil"/>
            </w:tcBorders>
            <w:shd w:val="clear" w:color="auto" w:fill="auto"/>
            <w:vAlign w:val="center"/>
          </w:tcPr>
          <w:p w14:paraId="0F18AAE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olor w:val="auto"/>
                <w:sz w:val="21"/>
                <w:szCs w:val="24"/>
                <w:lang w:val="en-US" w:eastAsia="zh-CN"/>
              </w:rPr>
              <w:t>组别</w:t>
            </w:r>
          </w:p>
        </w:tc>
        <w:tc>
          <w:tcPr>
            <w:tcW w:w="535" w:type="pct"/>
            <w:tcBorders>
              <w:top w:val="single" w:color="000000" w:sz="8" w:space="0"/>
              <w:left w:val="nil"/>
              <w:bottom w:val="single" w:color="000000" w:sz="8" w:space="0"/>
              <w:right w:val="nil"/>
            </w:tcBorders>
            <w:shd w:val="clear" w:color="auto" w:fill="auto"/>
          </w:tcPr>
          <w:p w14:paraId="4060583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olor w:val="auto"/>
                <w:sz w:val="21"/>
                <w:szCs w:val="24"/>
                <w:lang w:val="en-US" w:eastAsia="zh-CN"/>
              </w:rPr>
            </w:pPr>
            <w:r>
              <w:rPr>
                <w:rFonts w:hint="eastAsia" w:ascii="Times New Roman" w:hAnsi="Times New Roman" w:eastAsia="宋体"/>
                <w:i/>
                <w:iCs/>
                <w:color w:val="auto"/>
                <w:kern w:val="0"/>
                <w:sz w:val="21"/>
                <w:szCs w:val="24"/>
                <w:lang w:val="en-US" w:eastAsia="zh-CN" w:bidi="ar"/>
              </w:rPr>
              <w:t>SS</w:t>
            </w:r>
          </w:p>
        </w:tc>
        <w:tc>
          <w:tcPr>
            <w:tcW w:w="464" w:type="pct"/>
            <w:tcBorders>
              <w:top w:val="single" w:color="000000" w:sz="8" w:space="0"/>
              <w:left w:val="nil"/>
              <w:bottom w:val="single" w:color="000000" w:sz="8" w:space="0"/>
              <w:right w:val="nil"/>
            </w:tcBorders>
            <w:shd w:val="clear" w:color="auto" w:fill="auto"/>
          </w:tcPr>
          <w:p w14:paraId="4B255E6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hint="eastAsia" w:ascii="Times New Roman" w:hAnsi="Times New Roman" w:eastAsia="宋体"/>
                <w:color w:val="auto"/>
                <w:kern w:val="0"/>
                <w:sz w:val="21"/>
                <w:szCs w:val="24"/>
                <w:lang w:val="en-US" w:eastAsia="zh-CN" w:bidi="ar"/>
              </w:rPr>
              <w:t>df</w:t>
            </w:r>
          </w:p>
        </w:tc>
        <w:tc>
          <w:tcPr>
            <w:tcW w:w="535" w:type="pct"/>
            <w:tcBorders>
              <w:top w:val="single" w:color="000000" w:sz="8" w:space="0"/>
              <w:left w:val="nil"/>
              <w:bottom w:val="single" w:color="000000" w:sz="8" w:space="0"/>
              <w:right w:val="nil"/>
            </w:tcBorders>
            <w:shd w:val="clear" w:color="auto" w:fill="auto"/>
          </w:tcPr>
          <w:p w14:paraId="73A4154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hint="default" w:ascii="Times New Roman" w:hAnsi="Times New Roman" w:eastAsia="宋体"/>
                <w:color w:val="auto"/>
                <w:sz w:val="21"/>
                <w:szCs w:val="24"/>
                <w:lang w:val="en-US" w:eastAsia="zh-CN"/>
              </w:rPr>
            </w:pPr>
            <w:r>
              <w:rPr>
                <w:rFonts w:hint="eastAsia" w:ascii="Times New Roman" w:hAnsi="Times New Roman" w:eastAsia="宋体"/>
                <w:i/>
                <w:iCs/>
                <w:color w:val="auto"/>
                <w:kern w:val="0"/>
                <w:sz w:val="21"/>
                <w:szCs w:val="24"/>
                <w:lang w:val="en-US" w:eastAsia="zh-CN" w:bidi="ar"/>
              </w:rPr>
              <w:t>MS</w:t>
            </w:r>
          </w:p>
        </w:tc>
        <w:tc>
          <w:tcPr>
            <w:tcW w:w="509" w:type="pct"/>
            <w:tcBorders>
              <w:top w:val="single" w:color="000000" w:sz="8" w:space="0"/>
              <w:left w:val="nil"/>
              <w:bottom w:val="single" w:color="000000" w:sz="8" w:space="0"/>
              <w:right w:val="nil"/>
            </w:tcBorders>
            <w:shd w:val="clear" w:color="auto" w:fill="auto"/>
          </w:tcPr>
          <w:p w14:paraId="78D1EA0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i/>
                <w:iCs/>
                <w:color w:val="auto"/>
                <w:sz w:val="21"/>
                <w:szCs w:val="24"/>
              </w:rPr>
            </w:pPr>
            <w:r>
              <w:rPr>
                <w:rFonts w:ascii="Times New Roman" w:hAnsi="Times New Roman" w:eastAsia="宋体"/>
                <w:i/>
                <w:iCs/>
                <w:color w:val="auto"/>
                <w:kern w:val="0"/>
                <w:sz w:val="21"/>
                <w:szCs w:val="24"/>
                <w:lang w:bidi="ar"/>
              </w:rPr>
              <w:t>F</w:t>
            </w:r>
            <w:r>
              <w:rPr>
                <w:rFonts w:ascii="Times New Roman" w:hAnsi="Times New Roman" w:eastAsia="宋体"/>
                <w:color w:val="auto"/>
                <w:kern w:val="0"/>
                <w:sz w:val="21"/>
                <w:szCs w:val="24"/>
                <w:lang w:bidi="ar"/>
              </w:rPr>
              <w:t>值</w:t>
            </w:r>
          </w:p>
        </w:tc>
        <w:tc>
          <w:tcPr>
            <w:tcW w:w="509" w:type="pct"/>
            <w:tcBorders>
              <w:top w:val="single" w:color="000000" w:sz="8" w:space="0"/>
              <w:left w:val="nil"/>
              <w:bottom w:val="single" w:color="000000" w:sz="8" w:space="0"/>
              <w:right w:val="nil"/>
            </w:tcBorders>
            <w:shd w:val="clear" w:color="auto" w:fill="auto"/>
          </w:tcPr>
          <w:p w14:paraId="280D3F8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i/>
                <w:iCs/>
                <w:color w:val="auto"/>
                <w:sz w:val="21"/>
                <w:szCs w:val="24"/>
              </w:rPr>
            </w:pPr>
            <w:r>
              <w:rPr>
                <w:rFonts w:ascii="Times New Roman" w:hAnsi="Times New Roman" w:eastAsia="宋体"/>
                <w:i/>
                <w:iCs/>
                <w:color w:val="auto"/>
                <w:kern w:val="0"/>
                <w:sz w:val="21"/>
                <w:szCs w:val="24"/>
                <w:lang w:bidi="ar"/>
              </w:rPr>
              <w:t>P</w:t>
            </w:r>
            <w:r>
              <w:rPr>
                <w:rFonts w:ascii="Times New Roman" w:hAnsi="Times New Roman" w:eastAsia="宋体"/>
                <w:color w:val="auto"/>
                <w:kern w:val="0"/>
                <w:sz w:val="21"/>
                <w:szCs w:val="24"/>
                <w:lang w:bidi="ar"/>
              </w:rPr>
              <w:t>值</w:t>
            </w:r>
          </w:p>
        </w:tc>
      </w:tr>
      <w:tr w14:paraId="15CACDB7">
        <w:tblPrEx>
          <w:tblCellMar>
            <w:top w:w="0" w:type="dxa"/>
            <w:left w:w="108" w:type="dxa"/>
            <w:bottom w:w="0" w:type="dxa"/>
            <w:right w:w="108" w:type="dxa"/>
          </w:tblCellMar>
        </w:tblPrEx>
        <w:trPr>
          <w:trHeight w:val="270" w:hRule="atLeast"/>
          <w:jc w:val="center"/>
        </w:trPr>
        <w:tc>
          <w:tcPr>
            <w:tcW w:w="698" w:type="pct"/>
            <w:vMerge w:val="restart"/>
            <w:tcBorders>
              <w:top w:val="nil"/>
              <w:left w:val="nil"/>
              <w:right w:val="nil"/>
            </w:tcBorders>
            <w:shd w:val="clear" w:color="auto" w:fill="auto"/>
            <w:noWrap/>
            <w:vAlign w:val="center"/>
          </w:tcPr>
          <w:p w14:paraId="409DAEE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w:t>
            </w:r>
          </w:p>
        </w:tc>
        <w:tc>
          <w:tcPr>
            <w:tcW w:w="792" w:type="pct"/>
            <w:tcBorders>
              <w:top w:val="nil"/>
              <w:left w:val="nil"/>
              <w:bottom w:val="nil"/>
              <w:right w:val="nil"/>
            </w:tcBorders>
            <w:shd w:val="clear" w:color="auto" w:fill="auto"/>
            <w:noWrap/>
            <w:vAlign w:val="center"/>
          </w:tcPr>
          <w:p w14:paraId="7C4CA012">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tcPr>
          <w:p w14:paraId="22A5DAE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4FCBE69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1</w:t>
            </w:r>
            <w:r>
              <w:rPr>
                <w:rFonts w:hint="eastAsia" w:ascii="Times New Roman" w:hAnsi="Times New Roman" w:eastAsia="宋体"/>
                <w:color w:val="auto"/>
                <w:kern w:val="0"/>
                <w:sz w:val="21"/>
                <w:szCs w:val="24"/>
                <w:lang w:eastAsia="zh-CN" w:bidi="ar"/>
              </w:rPr>
              <w:t>8.</w:t>
            </w:r>
            <w:r>
              <w:rPr>
                <w:rFonts w:ascii="Times New Roman" w:hAnsi="Times New Roman" w:eastAsia="宋体"/>
                <w:color w:val="auto"/>
                <w:kern w:val="0"/>
                <w:sz w:val="21"/>
                <w:szCs w:val="24"/>
                <w:lang w:bidi="ar"/>
              </w:rPr>
              <w:t>375</w:t>
            </w:r>
          </w:p>
        </w:tc>
        <w:tc>
          <w:tcPr>
            <w:tcW w:w="464" w:type="pct"/>
            <w:tcBorders>
              <w:top w:val="nil"/>
              <w:left w:val="nil"/>
              <w:bottom w:val="nil"/>
              <w:right w:val="nil"/>
            </w:tcBorders>
            <w:shd w:val="clear" w:color="auto" w:fill="auto"/>
            <w:noWrap/>
            <w:vAlign w:val="center"/>
          </w:tcPr>
          <w:p w14:paraId="5C5A60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1226EF6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9.</w:t>
            </w:r>
            <w:r>
              <w:rPr>
                <w:rFonts w:ascii="Times New Roman" w:hAnsi="Times New Roman" w:eastAsia="宋体"/>
                <w:color w:val="auto"/>
                <w:kern w:val="0"/>
                <w:sz w:val="21"/>
                <w:szCs w:val="24"/>
                <w:lang w:bidi="ar"/>
              </w:rPr>
              <w:t>187</w:t>
            </w:r>
          </w:p>
        </w:tc>
        <w:tc>
          <w:tcPr>
            <w:tcW w:w="509" w:type="pct"/>
            <w:tcBorders>
              <w:top w:val="nil"/>
              <w:left w:val="nil"/>
              <w:bottom w:val="nil"/>
              <w:right w:val="nil"/>
            </w:tcBorders>
            <w:shd w:val="clear" w:color="auto" w:fill="auto"/>
            <w:noWrap/>
            <w:vAlign w:val="center"/>
          </w:tcPr>
          <w:p w14:paraId="7ABB810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5.</w:t>
            </w:r>
            <w:r>
              <w:rPr>
                <w:rFonts w:ascii="Times New Roman" w:hAnsi="Times New Roman" w:eastAsia="宋体"/>
                <w:color w:val="auto"/>
                <w:kern w:val="0"/>
                <w:sz w:val="21"/>
                <w:szCs w:val="24"/>
                <w:lang w:bidi="ar"/>
              </w:rPr>
              <w:t>83</w:t>
            </w:r>
            <w:r>
              <w:rPr>
                <w:rFonts w:hint="eastAsia" w:ascii="Times New Roman" w:hAnsi="Times New Roman" w:eastAsia="宋体"/>
                <w:color w:val="auto"/>
                <w:kern w:val="0"/>
                <w:sz w:val="21"/>
                <w:szCs w:val="24"/>
                <w:lang w:val="en-US" w:eastAsia="zh-CN" w:bidi="ar"/>
              </w:rPr>
              <w:t>0</w:t>
            </w:r>
          </w:p>
        </w:tc>
        <w:tc>
          <w:tcPr>
            <w:tcW w:w="509" w:type="pct"/>
            <w:tcBorders>
              <w:top w:val="nil"/>
              <w:left w:val="nil"/>
              <w:bottom w:val="nil"/>
              <w:right w:val="nil"/>
            </w:tcBorders>
            <w:shd w:val="clear" w:color="auto" w:fill="auto"/>
            <w:noWrap/>
            <w:vAlign w:val="center"/>
          </w:tcPr>
          <w:p w14:paraId="065213B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009</w:t>
            </w:r>
          </w:p>
        </w:tc>
      </w:tr>
      <w:tr w14:paraId="6F256F89">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2042997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3606DFC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40C36B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23FED1C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466</w:t>
            </w:r>
          </w:p>
        </w:tc>
        <w:tc>
          <w:tcPr>
            <w:tcW w:w="464" w:type="pct"/>
            <w:tcBorders>
              <w:top w:val="nil"/>
              <w:left w:val="nil"/>
              <w:bottom w:val="nil"/>
              <w:right w:val="nil"/>
            </w:tcBorders>
            <w:shd w:val="clear" w:color="auto" w:fill="auto"/>
            <w:noWrap/>
            <w:vAlign w:val="center"/>
          </w:tcPr>
          <w:p w14:paraId="01C3A54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161</w:t>
            </w:r>
          </w:p>
        </w:tc>
        <w:tc>
          <w:tcPr>
            <w:tcW w:w="535" w:type="pct"/>
            <w:tcBorders>
              <w:top w:val="nil"/>
              <w:left w:val="nil"/>
              <w:bottom w:val="nil"/>
              <w:right w:val="nil"/>
            </w:tcBorders>
            <w:shd w:val="clear" w:color="auto" w:fill="auto"/>
            <w:noWrap/>
            <w:vAlign w:val="center"/>
          </w:tcPr>
          <w:p w14:paraId="49A9502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402</w:t>
            </w:r>
          </w:p>
        </w:tc>
        <w:tc>
          <w:tcPr>
            <w:tcW w:w="509" w:type="pct"/>
            <w:tcBorders>
              <w:top w:val="nil"/>
              <w:left w:val="nil"/>
              <w:bottom w:val="nil"/>
              <w:right w:val="nil"/>
            </w:tcBorders>
            <w:shd w:val="clear" w:color="auto" w:fill="auto"/>
            <w:noWrap/>
            <w:vAlign w:val="center"/>
          </w:tcPr>
          <w:p w14:paraId="7F75494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257</w:t>
            </w:r>
          </w:p>
        </w:tc>
        <w:tc>
          <w:tcPr>
            <w:tcW w:w="509" w:type="pct"/>
            <w:tcBorders>
              <w:top w:val="nil"/>
              <w:left w:val="nil"/>
              <w:bottom w:val="nil"/>
              <w:right w:val="nil"/>
            </w:tcBorders>
            <w:shd w:val="clear" w:color="auto" w:fill="auto"/>
            <w:noWrap/>
            <w:vAlign w:val="center"/>
          </w:tcPr>
          <w:p w14:paraId="518825F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655</w:t>
            </w:r>
          </w:p>
        </w:tc>
      </w:tr>
      <w:tr w14:paraId="2B965491">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0A34CFD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2715078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tcPr>
          <w:p w14:paraId="6CCF6D6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6CA5300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8.</w:t>
            </w:r>
            <w:r>
              <w:rPr>
                <w:rFonts w:ascii="Times New Roman" w:hAnsi="Times New Roman" w:eastAsia="宋体"/>
                <w:color w:val="auto"/>
                <w:kern w:val="0"/>
                <w:sz w:val="21"/>
                <w:szCs w:val="24"/>
                <w:lang w:bidi="ar"/>
              </w:rPr>
              <w:t>826</w:t>
            </w:r>
          </w:p>
        </w:tc>
        <w:tc>
          <w:tcPr>
            <w:tcW w:w="464" w:type="pct"/>
            <w:tcBorders>
              <w:top w:val="nil"/>
              <w:left w:val="nil"/>
              <w:bottom w:val="nil"/>
              <w:right w:val="nil"/>
            </w:tcBorders>
            <w:shd w:val="clear" w:color="auto" w:fill="auto"/>
            <w:noWrap/>
            <w:vAlign w:val="center"/>
          </w:tcPr>
          <w:p w14:paraId="1830897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1917272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4.</w:t>
            </w:r>
            <w:r>
              <w:rPr>
                <w:rFonts w:ascii="Times New Roman" w:hAnsi="Times New Roman" w:eastAsia="宋体"/>
                <w:color w:val="auto"/>
                <w:kern w:val="0"/>
                <w:sz w:val="21"/>
                <w:szCs w:val="24"/>
                <w:lang w:bidi="ar"/>
              </w:rPr>
              <w:t>413</w:t>
            </w:r>
          </w:p>
        </w:tc>
        <w:tc>
          <w:tcPr>
            <w:tcW w:w="509" w:type="pct"/>
            <w:tcBorders>
              <w:top w:val="nil"/>
              <w:left w:val="nil"/>
              <w:bottom w:val="nil"/>
              <w:right w:val="nil"/>
            </w:tcBorders>
            <w:shd w:val="clear" w:color="auto" w:fill="auto"/>
            <w:noWrap/>
            <w:vAlign w:val="center"/>
          </w:tcPr>
          <w:p w14:paraId="2845B32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073</w:t>
            </w:r>
          </w:p>
        </w:tc>
        <w:tc>
          <w:tcPr>
            <w:tcW w:w="509" w:type="pct"/>
            <w:tcBorders>
              <w:top w:val="nil"/>
              <w:left w:val="nil"/>
              <w:bottom w:val="nil"/>
              <w:right w:val="nil"/>
            </w:tcBorders>
            <w:shd w:val="clear" w:color="auto" w:fill="auto"/>
            <w:noWrap/>
            <w:vAlign w:val="center"/>
          </w:tcPr>
          <w:p w14:paraId="14F58FB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15</w:t>
            </w:r>
            <w:r>
              <w:rPr>
                <w:rFonts w:hint="eastAsia" w:ascii="Times New Roman" w:hAnsi="Times New Roman" w:eastAsia="宋体"/>
                <w:color w:val="auto"/>
                <w:kern w:val="0"/>
                <w:sz w:val="21"/>
                <w:szCs w:val="24"/>
                <w:lang w:val="en-US" w:eastAsia="zh-CN" w:bidi="ar"/>
              </w:rPr>
              <w:t>0</w:t>
            </w:r>
          </w:p>
        </w:tc>
      </w:tr>
      <w:tr w14:paraId="1B24BD32">
        <w:tblPrEx>
          <w:tblCellMar>
            <w:top w:w="0" w:type="dxa"/>
            <w:left w:w="108" w:type="dxa"/>
            <w:bottom w:w="0" w:type="dxa"/>
            <w:right w:w="108" w:type="dxa"/>
          </w:tblCellMar>
        </w:tblPrEx>
        <w:trPr>
          <w:trHeight w:val="270" w:hRule="atLeast"/>
          <w:jc w:val="center"/>
        </w:trPr>
        <w:tc>
          <w:tcPr>
            <w:tcW w:w="698" w:type="pct"/>
            <w:vMerge w:val="continue"/>
            <w:tcBorders>
              <w:left w:val="nil"/>
              <w:bottom w:val="nil"/>
              <w:right w:val="nil"/>
            </w:tcBorders>
            <w:shd w:val="clear" w:color="auto" w:fill="auto"/>
            <w:noWrap/>
            <w:vAlign w:val="center"/>
          </w:tcPr>
          <w:p w14:paraId="4136FB4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7553440F">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1666EF2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05F1A72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195</w:t>
            </w:r>
          </w:p>
        </w:tc>
        <w:tc>
          <w:tcPr>
            <w:tcW w:w="464" w:type="pct"/>
            <w:tcBorders>
              <w:top w:val="nil"/>
              <w:left w:val="nil"/>
              <w:bottom w:val="nil"/>
              <w:right w:val="nil"/>
            </w:tcBorders>
            <w:shd w:val="clear" w:color="auto" w:fill="auto"/>
            <w:noWrap/>
            <w:vAlign w:val="center"/>
          </w:tcPr>
          <w:p w14:paraId="22A7346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0393139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098</w:t>
            </w:r>
          </w:p>
        </w:tc>
        <w:tc>
          <w:tcPr>
            <w:tcW w:w="509" w:type="pct"/>
            <w:tcBorders>
              <w:top w:val="nil"/>
              <w:left w:val="nil"/>
              <w:bottom w:val="nil"/>
              <w:right w:val="nil"/>
            </w:tcBorders>
            <w:shd w:val="clear" w:color="auto" w:fill="auto"/>
            <w:noWrap/>
            <w:vAlign w:val="center"/>
          </w:tcPr>
          <w:p w14:paraId="3C63411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351</w:t>
            </w:r>
          </w:p>
        </w:tc>
        <w:tc>
          <w:tcPr>
            <w:tcW w:w="509" w:type="pct"/>
            <w:tcBorders>
              <w:top w:val="nil"/>
              <w:left w:val="nil"/>
              <w:bottom w:val="nil"/>
              <w:right w:val="nil"/>
            </w:tcBorders>
            <w:shd w:val="clear" w:color="auto" w:fill="auto"/>
            <w:noWrap/>
            <w:vAlign w:val="center"/>
          </w:tcPr>
          <w:p w14:paraId="46C5539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278</w:t>
            </w:r>
          </w:p>
        </w:tc>
      </w:tr>
      <w:tr w14:paraId="71431B10">
        <w:tblPrEx>
          <w:tblCellMar>
            <w:top w:w="0" w:type="dxa"/>
            <w:left w:w="108" w:type="dxa"/>
            <w:bottom w:w="0" w:type="dxa"/>
            <w:right w:w="108" w:type="dxa"/>
          </w:tblCellMar>
        </w:tblPrEx>
        <w:trPr>
          <w:trHeight w:val="270" w:hRule="atLeast"/>
          <w:jc w:val="center"/>
        </w:trPr>
        <w:tc>
          <w:tcPr>
            <w:tcW w:w="698" w:type="pct"/>
            <w:vMerge w:val="restart"/>
            <w:tcBorders>
              <w:top w:val="nil"/>
              <w:left w:val="nil"/>
              <w:right w:val="nil"/>
            </w:tcBorders>
            <w:shd w:val="clear" w:color="auto" w:fill="auto"/>
            <w:noWrap/>
            <w:vAlign w:val="center"/>
          </w:tcPr>
          <w:p w14:paraId="6B7AEBDF">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p>
        </w:tc>
        <w:tc>
          <w:tcPr>
            <w:tcW w:w="792" w:type="pct"/>
            <w:tcBorders>
              <w:top w:val="nil"/>
              <w:left w:val="nil"/>
              <w:bottom w:val="nil"/>
              <w:right w:val="nil"/>
            </w:tcBorders>
            <w:shd w:val="clear" w:color="auto" w:fill="auto"/>
            <w:noWrap/>
            <w:vAlign w:val="center"/>
          </w:tcPr>
          <w:p w14:paraId="65B7B981">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tcPr>
          <w:p w14:paraId="54546E7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461FAF7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293</w:t>
            </w:r>
          </w:p>
        </w:tc>
        <w:tc>
          <w:tcPr>
            <w:tcW w:w="464" w:type="pct"/>
            <w:tcBorders>
              <w:top w:val="nil"/>
              <w:left w:val="nil"/>
              <w:bottom w:val="nil"/>
              <w:right w:val="nil"/>
            </w:tcBorders>
            <w:shd w:val="clear" w:color="auto" w:fill="auto"/>
            <w:noWrap/>
            <w:vAlign w:val="center"/>
          </w:tcPr>
          <w:p w14:paraId="489A497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6200EB5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647</w:t>
            </w:r>
          </w:p>
        </w:tc>
        <w:tc>
          <w:tcPr>
            <w:tcW w:w="509" w:type="pct"/>
            <w:tcBorders>
              <w:top w:val="nil"/>
              <w:left w:val="nil"/>
              <w:bottom w:val="nil"/>
              <w:right w:val="nil"/>
            </w:tcBorders>
            <w:shd w:val="clear" w:color="auto" w:fill="auto"/>
            <w:noWrap/>
            <w:vAlign w:val="center"/>
          </w:tcPr>
          <w:p w14:paraId="585045C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813</w:t>
            </w:r>
          </w:p>
        </w:tc>
        <w:tc>
          <w:tcPr>
            <w:tcW w:w="509" w:type="pct"/>
            <w:tcBorders>
              <w:top w:val="nil"/>
              <w:left w:val="nil"/>
              <w:bottom w:val="nil"/>
              <w:right w:val="nil"/>
            </w:tcBorders>
            <w:shd w:val="clear" w:color="auto" w:fill="auto"/>
            <w:noWrap/>
            <w:vAlign w:val="center"/>
          </w:tcPr>
          <w:p w14:paraId="1A92152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187</w:t>
            </w:r>
          </w:p>
        </w:tc>
      </w:tr>
      <w:tr w14:paraId="0E1513E4">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36722C1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55129B8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45E4E80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79A61C8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669</w:t>
            </w:r>
          </w:p>
        </w:tc>
        <w:tc>
          <w:tcPr>
            <w:tcW w:w="464" w:type="pct"/>
            <w:tcBorders>
              <w:top w:val="nil"/>
              <w:left w:val="nil"/>
              <w:bottom w:val="nil"/>
              <w:right w:val="nil"/>
            </w:tcBorders>
            <w:shd w:val="clear" w:color="auto" w:fill="auto"/>
            <w:noWrap/>
            <w:vAlign w:val="center"/>
          </w:tcPr>
          <w:p w14:paraId="74A2160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0934DFD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334</w:t>
            </w:r>
          </w:p>
        </w:tc>
        <w:tc>
          <w:tcPr>
            <w:tcW w:w="509" w:type="pct"/>
            <w:tcBorders>
              <w:top w:val="nil"/>
              <w:left w:val="nil"/>
              <w:bottom w:val="nil"/>
              <w:right w:val="nil"/>
            </w:tcBorders>
            <w:shd w:val="clear" w:color="auto" w:fill="auto"/>
            <w:noWrap/>
            <w:vAlign w:val="center"/>
          </w:tcPr>
          <w:p w14:paraId="4C7C235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3.</w:t>
            </w:r>
            <w:r>
              <w:rPr>
                <w:rFonts w:ascii="Times New Roman" w:hAnsi="Times New Roman" w:eastAsia="宋体"/>
                <w:color w:val="auto"/>
                <w:kern w:val="0"/>
                <w:sz w:val="21"/>
                <w:szCs w:val="24"/>
                <w:lang w:bidi="ar"/>
              </w:rPr>
              <w:t>5</w:t>
            </w:r>
            <w:r>
              <w:rPr>
                <w:rFonts w:hint="eastAsia" w:ascii="Times New Roman" w:hAnsi="Times New Roman" w:eastAsia="宋体"/>
                <w:color w:val="auto"/>
                <w:kern w:val="0"/>
                <w:sz w:val="21"/>
                <w:szCs w:val="24"/>
                <w:lang w:val="en-US" w:eastAsia="zh-CN" w:bidi="ar"/>
              </w:rPr>
              <w:t>00</w:t>
            </w:r>
          </w:p>
        </w:tc>
        <w:tc>
          <w:tcPr>
            <w:tcW w:w="509" w:type="pct"/>
            <w:tcBorders>
              <w:top w:val="nil"/>
              <w:left w:val="nil"/>
              <w:bottom w:val="nil"/>
              <w:right w:val="nil"/>
            </w:tcBorders>
            <w:shd w:val="clear" w:color="auto" w:fill="auto"/>
            <w:noWrap/>
            <w:vAlign w:val="center"/>
          </w:tcPr>
          <w:p w14:paraId="516440C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046</w:t>
            </w:r>
          </w:p>
        </w:tc>
      </w:tr>
      <w:tr w14:paraId="12601723">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59A8DB4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3DF04D1E">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tcPr>
          <w:p w14:paraId="46CB3F1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7E3FD18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4.</w:t>
            </w:r>
            <w:r>
              <w:rPr>
                <w:rFonts w:ascii="Times New Roman" w:hAnsi="Times New Roman" w:eastAsia="宋体"/>
                <w:color w:val="auto"/>
                <w:kern w:val="0"/>
                <w:sz w:val="21"/>
                <w:szCs w:val="24"/>
                <w:lang w:bidi="ar"/>
              </w:rPr>
              <w:t>898</w:t>
            </w:r>
          </w:p>
        </w:tc>
        <w:tc>
          <w:tcPr>
            <w:tcW w:w="464" w:type="pct"/>
            <w:tcBorders>
              <w:top w:val="nil"/>
              <w:left w:val="nil"/>
              <w:bottom w:val="nil"/>
              <w:right w:val="nil"/>
            </w:tcBorders>
            <w:shd w:val="clear" w:color="auto" w:fill="auto"/>
            <w:noWrap/>
            <w:vAlign w:val="center"/>
          </w:tcPr>
          <w:p w14:paraId="7156447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158E79C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449</w:t>
            </w:r>
          </w:p>
        </w:tc>
        <w:tc>
          <w:tcPr>
            <w:tcW w:w="509" w:type="pct"/>
            <w:tcBorders>
              <w:top w:val="nil"/>
              <w:left w:val="nil"/>
              <w:bottom w:val="nil"/>
              <w:right w:val="nil"/>
            </w:tcBorders>
            <w:shd w:val="clear" w:color="auto" w:fill="auto"/>
            <w:noWrap/>
            <w:vAlign w:val="center"/>
          </w:tcPr>
          <w:p w14:paraId="15E39A3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666</w:t>
            </w:r>
          </w:p>
        </w:tc>
        <w:tc>
          <w:tcPr>
            <w:tcW w:w="509" w:type="pct"/>
            <w:tcBorders>
              <w:top w:val="nil"/>
              <w:left w:val="nil"/>
              <w:bottom w:val="nil"/>
              <w:right w:val="nil"/>
            </w:tcBorders>
            <w:shd w:val="clear" w:color="auto" w:fill="auto"/>
            <w:noWrap/>
            <w:vAlign w:val="center"/>
          </w:tcPr>
          <w:p w14:paraId="579F392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212</w:t>
            </w:r>
          </w:p>
        </w:tc>
      </w:tr>
      <w:tr w14:paraId="33AE5DDE">
        <w:tblPrEx>
          <w:tblCellMar>
            <w:top w:w="0" w:type="dxa"/>
            <w:left w:w="108" w:type="dxa"/>
            <w:bottom w:w="0" w:type="dxa"/>
            <w:right w:w="108" w:type="dxa"/>
          </w:tblCellMar>
        </w:tblPrEx>
        <w:trPr>
          <w:trHeight w:val="270" w:hRule="atLeast"/>
          <w:jc w:val="center"/>
        </w:trPr>
        <w:tc>
          <w:tcPr>
            <w:tcW w:w="698" w:type="pct"/>
            <w:vMerge w:val="continue"/>
            <w:tcBorders>
              <w:left w:val="nil"/>
              <w:bottom w:val="nil"/>
              <w:right w:val="nil"/>
            </w:tcBorders>
            <w:shd w:val="clear" w:color="auto" w:fill="auto"/>
            <w:noWrap/>
            <w:vAlign w:val="center"/>
          </w:tcPr>
          <w:p w14:paraId="0B64534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22DAF80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4568D6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61F965F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254</w:t>
            </w:r>
          </w:p>
        </w:tc>
        <w:tc>
          <w:tcPr>
            <w:tcW w:w="464" w:type="pct"/>
            <w:tcBorders>
              <w:top w:val="nil"/>
              <w:left w:val="nil"/>
              <w:bottom w:val="nil"/>
              <w:right w:val="nil"/>
            </w:tcBorders>
            <w:shd w:val="clear" w:color="auto" w:fill="auto"/>
            <w:noWrap/>
            <w:vAlign w:val="center"/>
          </w:tcPr>
          <w:p w14:paraId="37CA2F9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629092C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127</w:t>
            </w:r>
          </w:p>
        </w:tc>
        <w:tc>
          <w:tcPr>
            <w:tcW w:w="509" w:type="pct"/>
            <w:tcBorders>
              <w:top w:val="nil"/>
              <w:left w:val="nil"/>
              <w:bottom w:val="nil"/>
              <w:right w:val="nil"/>
            </w:tcBorders>
            <w:shd w:val="clear" w:color="auto" w:fill="auto"/>
            <w:noWrap/>
            <w:vAlign w:val="center"/>
          </w:tcPr>
          <w:p w14:paraId="5F5C2E8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785</w:t>
            </w:r>
          </w:p>
        </w:tc>
        <w:tc>
          <w:tcPr>
            <w:tcW w:w="509" w:type="pct"/>
            <w:tcBorders>
              <w:top w:val="nil"/>
              <w:left w:val="nil"/>
              <w:bottom w:val="nil"/>
              <w:right w:val="nil"/>
            </w:tcBorders>
            <w:shd w:val="clear" w:color="auto" w:fill="auto"/>
            <w:noWrap/>
            <w:vAlign w:val="center"/>
          </w:tcPr>
          <w:p w14:paraId="6E72583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467</w:t>
            </w:r>
          </w:p>
        </w:tc>
      </w:tr>
      <w:tr w14:paraId="737E7892">
        <w:tblPrEx>
          <w:tblCellMar>
            <w:top w:w="0" w:type="dxa"/>
            <w:left w:w="108" w:type="dxa"/>
            <w:bottom w:w="0" w:type="dxa"/>
            <w:right w:w="108" w:type="dxa"/>
          </w:tblCellMar>
        </w:tblPrEx>
        <w:trPr>
          <w:trHeight w:val="270" w:hRule="atLeast"/>
          <w:jc w:val="center"/>
        </w:trPr>
        <w:tc>
          <w:tcPr>
            <w:tcW w:w="698" w:type="pct"/>
            <w:vMerge w:val="restart"/>
            <w:tcBorders>
              <w:top w:val="nil"/>
              <w:left w:val="nil"/>
              <w:right w:val="nil"/>
            </w:tcBorders>
            <w:shd w:val="clear" w:color="auto" w:fill="auto"/>
            <w:noWrap/>
            <w:vAlign w:val="center"/>
          </w:tcPr>
          <w:p w14:paraId="4353D01C">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p>
        </w:tc>
        <w:tc>
          <w:tcPr>
            <w:tcW w:w="792" w:type="pct"/>
            <w:tcBorders>
              <w:top w:val="nil"/>
              <w:left w:val="nil"/>
              <w:bottom w:val="nil"/>
              <w:right w:val="nil"/>
            </w:tcBorders>
            <w:shd w:val="clear" w:color="auto" w:fill="auto"/>
            <w:noWrap/>
            <w:vAlign w:val="center"/>
          </w:tcPr>
          <w:p w14:paraId="0163A07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tcPr>
          <w:p w14:paraId="660E892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56AFA9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8.</w:t>
            </w:r>
            <w:r>
              <w:rPr>
                <w:rFonts w:ascii="Times New Roman" w:hAnsi="Times New Roman" w:eastAsia="宋体"/>
                <w:color w:val="auto"/>
                <w:kern w:val="0"/>
                <w:sz w:val="21"/>
                <w:szCs w:val="24"/>
                <w:lang w:bidi="ar"/>
              </w:rPr>
              <w:t>687</w:t>
            </w:r>
          </w:p>
        </w:tc>
        <w:tc>
          <w:tcPr>
            <w:tcW w:w="464" w:type="pct"/>
            <w:tcBorders>
              <w:top w:val="nil"/>
              <w:left w:val="nil"/>
              <w:bottom w:val="nil"/>
              <w:right w:val="nil"/>
            </w:tcBorders>
            <w:shd w:val="clear" w:color="auto" w:fill="auto"/>
            <w:noWrap/>
            <w:vAlign w:val="center"/>
          </w:tcPr>
          <w:p w14:paraId="2C1127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291551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4.</w:t>
            </w:r>
            <w:r>
              <w:rPr>
                <w:rFonts w:ascii="Times New Roman" w:hAnsi="Times New Roman" w:eastAsia="宋体"/>
                <w:color w:val="auto"/>
                <w:kern w:val="0"/>
                <w:sz w:val="21"/>
                <w:szCs w:val="24"/>
                <w:lang w:bidi="ar"/>
              </w:rPr>
              <w:t>343</w:t>
            </w:r>
          </w:p>
        </w:tc>
        <w:tc>
          <w:tcPr>
            <w:tcW w:w="509" w:type="pct"/>
            <w:tcBorders>
              <w:top w:val="nil"/>
              <w:left w:val="nil"/>
              <w:bottom w:val="nil"/>
              <w:right w:val="nil"/>
            </w:tcBorders>
            <w:shd w:val="clear" w:color="auto" w:fill="auto"/>
            <w:noWrap/>
            <w:vAlign w:val="center"/>
          </w:tcPr>
          <w:p w14:paraId="31D64C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3.</w:t>
            </w:r>
            <w:r>
              <w:rPr>
                <w:rFonts w:ascii="Times New Roman" w:hAnsi="Times New Roman" w:eastAsia="宋体"/>
                <w:color w:val="auto"/>
                <w:kern w:val="0"/>
                <w:sz w:val="21"/>
                <w:szCs w:val="24"/>
                <w:lang w:bidi="ar"/>
              </w:rPr>
              <w:t>484</w:t>
            </w:r>
          </w:p>
        </w:tc>
        <w:tc>
          <w:tcPr>
            <w:tcW w:w="509" w:type="pct"/>
            <w:tcBorders>
              <w:top w:val="nil"/>
              <w:left w:val="nil"/>
              <w:bottom w:val="nil"/>
              <w:right w:val="nil"/>
            </w:tcBorders>
            <w:shd w:val="clear" w:color="auto" w:fill="auto"/>
            <w:noWrap/>
            <w:vAlign w:val="center"/>
          </w:tcPr>
          <w:p w14:paraId="0542EC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048</w:t>
            </w:r>
          </w:p>
        </w:tc>
      </w:tr>
      <w:tr w14:paraId="643388DB">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55E45D11">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34D341E6">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2793DD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6EA6A77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3.</w:t>
            </w:r>
            <w:r>
              <w:rPr>
                <w:rFonts w:ascii="Times New Roman" w:hAnsi="Times New Roman" w:eastAsia="宋体"/>
                <w:color w:val="auto"/>
                <w:kern w:val="0"/>
                <w:sz w:val="21"/>
                <w:szCs w:val="24"/>
                <w:lang w:bidi="ar"/>
              </w:rPr>
              <w:t>364</w:t>
            </w:r>
          </w:p>
        </w:tc>
        <w:tc>
          <w:tcPr>
            <w:tcW w:w="464" w:type="pct"/>
            <w:tcBorders>
              <w:top w:val="nil"/>
              <w:left w:val="nil"/>
              <w:bottom w:val="nil"/>
              <w:right w:val="nil"/>
            </w:tcBorders>
            <w:shd w:val="clear" w:color="auto" w:fill="auto"/>
            <w:noWrap/>
            <w:vAlign w:val="center"/>
          </w:tcPr>
          <w:p w14:paraId="0A7339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017C4DF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682</w:t>
            </w:r>
          </w:p>
        </w:tc>
        <w:tc>
          <w:tcPr>
            <w:tcW w:w="509" w:type="pct"/>
            <w:tcBorders>
              <w:top w:val="nil"/>
              <w:left w:val="nil"/>
              <w:bottom w:val="nil"/>
              <w:right w:val="nil"/>
            </w:tcBorders>
            <w:shd w:val="clear" w:color="auto" w:fill="auto"/>
            <w:noWrap/>
            <w:vAlign w:val="center"/>
          </w:tcPr>
          <w:p w14:paraId="18C748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765</w:t>
            </w:r>
          </w:p>
        </w:tc>
        <w:tc>
          <w:tcPr>
            <w:tcW w:w="509" w:type="pct"/>
            <w:tcBorders>
              <w:top w:val="nil"/>
              <w:left w:val="nil"/>
              <w:bottom w:val="nil"/>
              <w:right w:val="nil"/>
            </w:tcBorders>
            <w:shd w:val="clear" w:color="auto" w:fill="auto"/>
            <w:noWrap/>
            <w:vAlign w:val="center"/>
          </w:tcPr>
          <w:p w14:paraId="3027069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477</w:t>
            </w:r>
          </w:p>
        </w:tc>
      </w:tr>
      <w:tr w14:paraId="270E303F">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2816272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74E86FAF">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tcPr>
          <w:p w14:paraId="1411841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7F050F0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352</w:t>
            </w:r>
          </w:p>
        </w:tc>
        <w:tc>
          <w:tcPr>
            <w:tcW w:w="464" w:type="pct"/>
            <w:tcBorders>
              <w:top w:val="nil"/>
              <w:left w:val="nil"/>
              <w:bottom w:val="nil"/>
              <w:right w:val="nil"/>
            </w:tcBorders>
            <w:shd w:val="clear" w:color="auto" w:fill="auto"/>
            <w:noWrap/>
            <w:vAlign w:val="center"/>
          </w:tcPr>
          <w:p w14:paraId="001EE4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3C37860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176</w:t>
            </w:r>
          </w:p>
        </w:tc>
        <w:tc>
          <w:tcPr>
            <w:tcW w:w="509" w:type="pct"/>
            <w:tcBorders>
              <w:top w:val="nil"/>
              <w:left w:val="nil"/>
              <w:bottom w:val="nil"/>
              <w:right w:val="nil"/>
            </w:tcBorders>
            <w:shd w:val="clear" w:color="auto" w:fill="auto"/>
            <w:noWrap/>
            <w:vAlign w:val="center"/>
          </w:tcPr>
          <w:p w14:paraId="391CC74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358</w:t>
            </w:r>
          </w:p>
        </w:tc>
        <w:tc>
          <w:tcPr>
            <w:tcW w:w="509" w:type="pct"/>
            <w:tcBorders>
              <w:top w:val="nil"/>
              <w:left w:val="nil"/>
              <w:bottom w:val="nil"/>
              <w:right w:val="nil"/>
            </w:tcBorders>
            <w:shd w:val="clear" w:color="auto" w:fill="auto"/>
            <w:noWrap/>
            <w:vAlign w:val="center"/>
          </w:tcPr>
          <w:p w14:paraId="2016D5A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703</w:t>
            </w:r>
          </w:p>
        </w:tc>
      </w:tr>
      <w:tr w14:paraId="5B468755">
        <w:tblPrEx>
          <w:tblCellMar>
            <w:top w:w="0" w:type="dxa"/>
            <w:left w:w="108" w:type="dxa"/>
            <w:bottom w:w="0" w:type="dxa"/>
            <w:right w:w="108" w:type="dxa"/>
          </w:tblCellMar>
        </w:tblPrEx>
        <w:trPr>
          <w:trHeight w:val="270" w:hRule="atLeast"/>
          <w:jc w:val="center"/>
        </w:trPr>
        <w:tc>
          <w:tcPr>
            <w:tcW w:w="698" w:type="pct"/>
            <w:vMerge w:val="continue"/>
            <w:tcBorders>
              <w:left w:val="nil"/>
              <w:bottom w:val="nil"/>
              <w:right w:val="nil"/>
            </w:tcBorders>
            <w:shd w:val="clear" w:color="auto" w:fill="auto"/>
            <w:noWrap/>
            <w:vAlign w:val="center"/>
          </w:tcPr>
          <w:p w14:paraId="665DA18C">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310B6EB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1EA27FA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5B07ED1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347</w:t>
            </w:r>
          </w:p>
        </w:tc>
        <w:tc>
          <w:tcPr>
            <w:tcW w:w="464" w:type="pct"/>
            <w:tcBorders>
              <w:top w:val="nil"/>
              <w:left w:val="nil"/>
              <w:bottom w:val="nil"/>
              <w:right w:val="nil"/>
            </w:tcBorders>
            <w:shd w:val="clear" w:color="auto" w:fill="auto"/>
            <w:noWrap/>
            <w:vAlign w:val="center"/>
          </w:tcPr>
          <w:p w14:paraId="5A1FEA9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155</w:t>
            </w:r>
          </w:p>
        </w:tc>
        <w:tc>
          <w:tcPr>
            <w:tcW w:w="535" w:type="pct"/>
            <w:tcBorders>
              <w:top w:val="nil"/>
              <w:left w:val="nil"/>
              <w:bottom w:val="nil"/>
              <w:right w:val="nil"/>
            </w:tcBorders>
            <w:shd w:val="clear" w:color="auto" w:fill="auto"/>
            <w:noWrap/>
            <w:vAlign w:val="center"/>
          </w:tcPr>
          <w:p w14:paraId="15769AA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166</w:t>
            </w:r>
          </w:p>
        </w:tc>
        <w:tc>
          <w:tcPr>
            <w:tcW w:w="509" w:type="pct"/>
            <w:tcBorders>
              <w:top w:val="nil"/>
              <w:left w:val="nil"/>
              <w:bottom w:val="nil"/>
              <w:right w:val="nil"/>
            </w:tcBorders>
            <w:shd w:val="clear" w:color="auto" w:fill="auto"/>
            <w:noWrap/>
            <w:vAlign w:val="center"/>
          </w:tcPr>
          <w:p w14:paraId="0217308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074</w:t>
            </w:r>
          </w:p>
        </w:tc>
        <w:tc>
          <w:tcPr>
            <w:tcW w:w="509" w:type="pct"/>
            <w:tcBorders>
              <w:top w:val="nil"/>
              <w:left w:val="nil"/>
              <w:bottom w:val="nil"/>
              <w:right w:val="nil"/>
            </w:tcBorders>
            <w:shd w:val="clear" w:color="auto" w:fill="auto"/>
            <w:noWrap/>
            <w:vAlign w:val="center"/>
          </w:tcPr>
          <w:p w14:paraId="4EACEE8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825</w:t>
            </w:r>
          </w:p>
        </w:tc>
      </w:tr>
      <w:tr w14:paraId="2EFA1A4A">
        <w:tblPrEx>
          <w:tblCellMar>
            <w:top w:w="0" w:type="dxa"/>
            <w:left w:w="108" w:type="dxa"/>
            <w:bottom w:w="0" w:type="dxa"/>
            <w:right w:w="108" w:type="dxa"/>
          </w:tblCellMar>
        </w:tblPrEx>
        <w:trPr>
          <w:trHeight w:val="270" w:hRule="atLeast"/>
          <w:jc w:val="center"/>
        </w:trPr>
        <w:tc>
          <w:tcPr>
            <w:tcW w:w="698" w:type="pct"/>
            <w:vMerge w:val="restart"/>
            <w:tcBorders>
              <w:top w:val="nil"/>
              <w:left w:val="nil"/>
              <w:right w:val="nil"/>
            </w:tcBorders>
            <w:shd w:val="clear" w:color="auto" w:fill="auto"/>
            <w:noWrap/>
            <w:vAlign w:val="center"/>
          </w:tcPr>
          <w:p w14:paraId="3BC2A8C3">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ROM</w:t>
            </w:r>
          </w:p>
        </w:tc>
        <w:tc>
          <w:tcPr>
            <w:tcW w:w="792" w:type="pct"/>
            <w:tcBorders>
              <w:top w:val="nil"/>
              <w:left w:val="nil"/>
              <w:bottom w:val="nil"/>
              <w:right w:val="nil"/>
            </w:tcBorders>
            <w:shd w:val="clear" w:color="auto" w:fill="auto"/>
            <w:noWrap/>
            <w:vAlign w:val="center"/>
          </w:tcPr>
          <w:p w14:paraId="35D1155C">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tcPr>
          <w:p w14:paraId="312D401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2FFF974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eastAsia="zh-CN" w:bidi="ar"/>
              </w:rPr>
              <w:t>9.</w:t>
            </w:r>
            <w:r>
              <w:rPr>
                <w:rFonts w:ascii="Times New Roman" w:hAnsi="Times New Roman" w:eastAsia="宋体"/>
                <w:color w:val="auto"/>
                <w:kern w:val="0"/>
                <w:sz w:val="21"/>
                <w:szCs w:val="24"/>
                <w:lang w:bidi="ar"/>
              </w:rPr>
              <w:t>484</w:t>
            </w:r>
          </w:p>
        </w:tc>
        <w:tc>
          <w:tcPr>
            <w:tcW w:w="464" w:type="pct"/>
            <w:tcBorders>
              <w:top w:val="nil"/>
              <w:left w:val="nil"/>
              <w:bottom w:val="nil"/>
              <w:right w:val="nil"/>
            </w:tcBorders>
            <w:shd w:val="clear" w:color="auto" w:fill="auto"/>
            <w:noWrap/>
            <w:vAlign w:val="center"/>
          </w:tcPr>
          <w:p w14:paraId="7B5A729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57EB5D8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1</w:t>
            </w:r>
            <w:r>
              <w:rPr>
                <w:rFonts w:hint="eastAsia" w:ascii="Times New Roman" w:hAnsi="Times New Roman" w:eastAsia="宋体"/>
                <w:color w:val="auto"/>
                <w:kern w:val="0"/>
                <w:sz w:val="21"/>
                <w:szCs w:val="24"/>
                <w:lang w:eastAsia="zh-CN" w:bidi="ar"/>
              </w:rPr>
              <w:t>4.</w:t>
            </w:r>
            <w:r>
              <w:rPr>
                <w:rFonts w:ascii="Times New Roman" w:hAnsi="Times New Roman" w:eastAsia="宋体"/>
                <w:color w:val="auto"/>
                <w:kern w:val="0"/>
                <w:sz w:val="21"/>
                <w:szCs w:val="24"/>
                <w:lang w:bidi="ar"/>
              </w:rPr>
              <w:t>742</w:t>
            </w:r>
          </w:p>
        </w:tc>
        <w:tc>
          <w:tcPr>
            <w:tcW w:w="509" w:type="pct"/>
            <w:tcBorders>
              <w:top w:val="nil"/>
              <w:left w:val="nil"/>
              <w:bottom w:val="nil"/>
              <w:right w:val="nil"/>
            </w:tcBorders>
            <w:shd w:val="clear" w:color="auto" w:fill="auto"/>
            <w:noWrap/>
            <w:vAlign w:val="center"/>
          </w:tcPr>
          <w:p w14:paraId="7B70E1B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674</w:t>
            </w:r>
          </w:p>
        </w:tc>
        <w:tc>
          <w:tcPr>
            <w:tcW w:w="509" w:type="pct"/>
            <w:tcBorders>
              <w:top w:val="nil"/>
              <w:left w:val="nil"/>
              <w:bottom w:val="nil"/>
              <w:right w:val="nil"/>
            </w:tcBorders>
            <w:shd w:val="clear" w:color="auto" w:fill="auto"/>
            <w:noWrap/>
            <w:vAlign w:val="center"/>
          </w:tcPr>
          <w:p w14:paraId="3490B84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091</w:t>
            </w:r>
          </w:p>
        </w:tc>
      </w:tr>
      <w:tr w14:paraId="4AA7BC54">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4BCF5FF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6DA0C9A9">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4C65572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66CE19B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7.</w:t>
            </w:r>
            <w:r>
              <w:rPr>
                <w:rFonts w:ascii="Times New Roman" w:hAnsi="Times New Roman" w:eastAsia="宋体"/>
                <w:color w:val="auto"/>
                <w:kern w:val="0"/>
                <w:sz w:val="21"/>
                <w:szCs w:val="24"/>
                <w:lang w:bidi="ar"/>
              </w:rPr>
              <w:t>218</w:t>
            </w:r>
          </w:p>
        </w:tc>
        <w:tc>
          <w:tcPr>
            <w:tcW w:w="464" w:type="pct"/>
            <w:tcBorders>
              <w:top w:val="nil"/>
              <w:left w:val="nil"/>
              <w:bottom w:val="nil"/>
              <w:right w:val="nil"/>
            </w:tcBorders>
            <w:shd w:val="clear" w:color="auto" w:fill="auto"/>
            <w:noWrap/>
            <w:vAlign w:val="center"/>
          </w:tcPr>
          <w:p w14:paraId="0BBD361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74D08AB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3.</w:t>
            </w:r>
            <w:r>
              <w:rPr>
                <w:rFonts w:ascii="Times New Roman" w:hAnsi="Times New Roman" w:eastAsia="宋体"/>
                <w:color w:val="auto"/>
                <w:kern w:val="0"/>
                <w:sz w:val="21"/>
                <w:szCs w:val="24"/>
                <w:lang w:bidi="ar"/>
              </w:rPr>
              <w:t>609</w:t>
            </w:r>
          </w:p>
        </w:tc>
        <w:tc>
          <w:tcPr>
            <w:tcW w:w="509" w:type="pct"/>
            <w:tcBorders>
              <w:top w:val="nil"/>
              <w:left w:val="nil"/>
              <w:bottom w:val="nil"/>
              <w:right w:val="nil"/>
            </w:tcBorders>
            <w:shd w:val="clear" w:color="auto" w:fill="auto"/>
            <w:noWrap/>
            <w:vAlign w:val="center"/>
          </w:tcPr>
          <w:p w14:paraId="7F67369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462</w:t>
            </w:r>
          </w:p>
        </w:tc>
        <w:tc>
          <w:tcPr>
            <w:tcW w:w="509" w:type="pct"/>
            <w:tcBorders>
              <w:top w:val="nil"/>
              <w:left w:val="nil"/>
              <w:bottom w:val="nil"/>
              <w:right w:val="nil"/>
            </w:tcBorders>
            <w:shd w:val="clear" w:color="auto" w:fill="auto"/>
            <w:noWrap/>
            <w:vAlign w:val="center"/>
          </w:tcPr>
          <w:p w14:paraId="35A65F6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107</w:t>
            </w:r>
          </w:p>
        </w:tc>
      </w:tr>
      <w:tr w14:paraId="26B10486">
        <w:tblPrEx>
          <w:tblCellMar>
            <w:top w:w="0" w:type="dxa"/>
            <w:left w:w="108" w:type="dxa"/>
            <w:bottom w:w="0" w:type="dxa"/>
            <w:right w:w="108" w:type="dxa"/>
          </w:tblCellMar>
        </w:tblPrEx>
        <w:trPr>
          <w:trHeight w:val="270" w:hRule="atLeast"/>
          <w:jc w:val="center"/>
        </w:trPr>
        <w:tc>
          <w:tcPr>
            <w:tcW w:w="698" w:type="pct"/>
            <w:vMerge w:val="continue"/>
            <w:tcBorders>
              <w:left w:val="nil"/>
              <w:right w:val="nil"/>
            </w:tcBorders>
            <w:shd w:val="clear" w:color="auto" w:fill="auto"/>
            <w:noWrap/>
            <w:vAlign w:val="center"/>
          </w:tcPr>
          <w:p w14:paraId="1FF0B34A">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701AF060">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tcPr>
          <w:p w14:paraId="5484928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center"/>
          </w:tcPr>
          <w:p w14:paraId="7CF718D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1</w:t>
            </w:r>
            <w:r>
              <w:rPr>
                <w:rFonts w:hint="eastAsia" w:ascii="Times New Roman" w:hAnsi="Times New Roman" w:eastAsia="宋体"/>
                <w:color w:val="auto"/>
                <w:kern w:val="0"/>
                <w:sz w:val="21"/>
                <w:szCs w:val="24"/>
                <w:lang w:eastAsia="zh-CN" w:bidi="ar"/>
              </w:rPr>
              <w:t>9.</w:t>
            </w:r>
            <w:r>
              <w:rPr>
                <w:rFonts w:ascii="Times New Roman" w:hAnsi="Times New Roman" w:eastAsia="宋体"/>
                <w:color w:val="auto"/>
                <w:kern w:val="0"/>
                <w:sz w:val="21"/>
                <w:szCs w:val="24"/>
                <w:lang w:bidi="ar"/>
              </w:rPr>
              <w:t>299</w:t>
            </w:r>
          </w:p>
        </w:tc>
        <w:tc>
          <w:tcPr>
            <w:tcW w:w="464" w:type="pct"/>
            <w:tcBorders>
              <w:top w:val="nil"/>
              <w:left w:val="nil"/>
              <w:bottom w:val="nil"/>
              <w:right w:val="nil"/>
            </w:tcBorders>
            <w:shd w:val="clear" w:color="auto" w:fill="auto"/>
            <w:noWrap/>
            <w:vAlign w:val="center"/>
          </w:tcPr>
          <w:p w14:paraId="2E80E65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221189B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9.</w:t>
            </w:r>
            <w:r>
              <w:rPr>
                <w:rFonts w:ascii="Times New Roman" w:hAnsi="Times New Roman" w:eastAsia="宋体"/>
                <w:color w:val="auto"/>
                <w:kern w:val="0"/>
                <w:sz w:val="21"/>
                <w:szCs w:val="24"/>
                <w:lang w:bidi="ar"/>
              </w:rPr>
              <w:t>65</w:t>
            </w:r>
          </w:p>
        </w:tc>
        <w:tc>
          <w:tcPr>
            <w:tcW w:w="509" w:type="pct"/>
            <w:tcBorders>
              <w:top w:val="nil"/>
              <w:left w:val="nil"/>
              <w:bottom w:val="nil"/>
              <w:right w:val="nil"/>
            </w:tcBorders>
            <w:shd w:val="clear" w:color="auto" w:fill="auto"/>
            <w:noWrap/>
            <w:vAlign w:val="center"/>
          </w:tcPr>
          <w:p w14:paraId="15DD4A3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3.</w:t>
            </w:r>
            <w:r>
              <w:rPr>
                <w:rFonts w:ascii="Times New Roman" w:hAnsi="Times New Roman" w:eastAsia="宋体"/>
                <w:color w:val="auto"/>
                <w:kern w:val="0"/>
                <w:sz w:val="21"/>
                <w:szCs w:val="24"/>
                <w:lang w:bidi="ar"/>
              </w:rPr>
              <w:t>084</w:t>
            </w:r>
          </w:p>
        </w:tc>
        <w:tc>
          <w:tcPr>
            <w:tcW w:w="509" w:type="pct"/>
            <w:tcBorders>
              <w:top w:val="nil"/>
              <w:left w:val="nil"/>
              <w:bottom w:val="nil"/>
              <w:right w:val="nil"/>
            </w:tcBorders>
            <w:shd w:val="clear" w:color="auto" w:fill="auto"/>
            <w:noWrap/>
            <w:vAlign w:val="center"/>
          </w:tcPr>
          <w:p w14:paraId="6573CDF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066</w:t>
            </w:r>
          </w:p>
        </w:tc>
      </w:tr>
      <w:tr w14:paraId="4B9108B0">
        <w:tblPrEx>
          <w:tblCellMar>
            <w:top w:w="0" w:type="dxa"/>
            <w:left w:w="108" w:type="dxa"/>
            <w:bottom w:w="0" w:type="dxa"/>
            <w:right w:w="108" w:type="dxa"/>
          </w:tblCellMar>
        </w:tblPrEx>
        <w:trPr>
          <w:trHeight w:val="285" w:hRule="atLeast"/>
          <w:jc w:val="center"/>
        </w:trPr>
        <w:tc>
          <w:tcPr>
            <w:tcW w:w="698" w:type="pct"/>
            <w:vMerge w:val="continue"/>
            <w:tcBorders>
              <w:left w:val="nil"/>
              <w:bottom w:val="nil"/>
              <w:right w:val="nil"/>
            </w:tcBorders>
            <w:shd w:val="clear" w:color="auto" w:fill="auto"/>
            <w:noWrap/>
            <w:vAlign w:val="center"/>
          </w:tcPr>
          <w:p w14:paraId="70075E52">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65BA613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954" w:type="pct"/>
            <w:tcBorders>
              <w:top w:val="nil"/>
              <w:left w:val="nil"/>
              <w:bottom w:val="nil"/>
              <w:right w:val="nil"/>
            </w:tcBorders>
            <w:shd w:val="clear" w:color="auto" w:fill="auto"/>
          </w:tcPr>
          <w:p w14:paraId="3A30EE9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center"/>
          </w:tcPr>
          <w:p w14:paraId="023D449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eastAsia="zh-CN" w:bidi="ar"/>
              </w:rPr>
              <w:t>5.</w:t>
            </w:r>
            <w:r>
              <w:rPr>
                <w:rFonts w:ascii="Times New Roman" w:hAnsi="Times New Roman" w:eastAsia="宋体"/>
                <w:color w:val="auto"/>
                <w:kern w:val="0"/>
                <w:sz w:val="21"/>
                <w:szCs w:val="24"/>
                <w:lang w:bidi="ar"/>
              </w:rPr>
              <w:t>32</w:t>
            </w:r>
          </w:p>
        </w:tc>
        <w:tc>
          <w:tcPr>
            <w:tcW w:w="464" w:type="pct"/>
            <w:tcBorders>
              <w:top w:val="nil"/>
              <w:left w:val="nil"/>
              <w:bottom w:val="nil"/>
              <w:right w:val="nil"/>
            </w:tcBorders>
            <w:shd w:val="clear" w:color="auto" w:fill="auto"/>
            <w:noWrap/>
            <w:vAlign w:val="center"/>
          </w:tcPr>
          <w:p w14:paraId="037CF76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center"/>
          </w:tcPr>
          <w:p w14:paraId="6C2BD3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1</w:t>
            </w: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66</w:t>
            </w:r>
          </w:p>
        </w:tc>
        <w:tc>
          <w:tcPr>
            <w:tcW w:w="509" w:type="pct"/>
            <w:tcBorders>
              <w:top w:val="nil"/>
              <w:left w:val="nil"/>
              <w:bottom w:val="nil"/>
              <w:right w:val="nil"/>
            </w:tcBorders>
            <w:shd w:val="clear" w:color="auto" w:fill="auto"/>
            <w:noWrap/>
            <w:vAlign w:val="center"/>
          </w:tcPr>
          <w:p w14:paraId="6868745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w:t>
            </w:r>
          </w:p>
        </w:tc>
        <w:tc>
          <w:tcPr>
            <w:tcW w:w="509" w:type="pct"/>
            <w:tcBorders>
              <w:top w:val="nil"/>
              <w:left w:val="nil"/>
              <w:bottom w:val="nil"/>
              <w:right w:val="nil"/>
            </w:tcBorders>
            <w:shd w:val="clear" w:color="auto" w:fill="auto"/>
            <w:noWrap/>
            <w:vAlign w:val="center"/>
          </w:tcPr>
          <w:p w14:paraId="0A431BE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133</w:t>
            </w:r>
          </w:p>
        </w:tc>
      </w:tr>
      <w:tr w14:paraId="5482BF5B">
        <w:tblPrEx>
          <w:tblCellMar>
            <w:top w:w="0" w:type="dxa"/>
            <w:left w:w="108" w:type="dxa"/>
            <w:bottom w:w="0" w:type="dxa"/>
            <w:right w:w="108" w:type="dxa"/>
          </w:tblCellMar>
        </w:tblPrEx>
        <w:trPr>
          <w:trHeight w:val="285" w:hRule="atLeast"/>
          <w:jc w:val="center"/>
        </w:trPr>
        <w:tc>
          <w:tcPr>
            <w:tcW w:w="698" w:type="pct"/>
            <w:vMerge w:val="restart"/>
            <w:tcBorders>
              <w:top w:val="nil"/>
              <w:left w:val="nil"/>
              <w:right w:val="nil"/>
            </w:tcBorders>
            <w:shd w:val="clear" w:color="auto" w:fill="auto"/>
            <w:noWrap/>
            <w:vAlign w:val="center"/>
          </w:tcPr>
          <w:p w14:paraId="7EC58274">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max</w:t>
            </w:r>
          </w:p>
        </w:tc>
        <w:tc>
          <w:tcPr>
            <w:tcW w:w="792" w:type="pct"/>
            <w:tcBorders>
              <w:top w:val="nil"/>
              <w:left w:val="nil"/>
              <w:bottom w:val="nil"/>
              <w:right w:val="nil"/>
            </w:tcBorders>
            <w:shd w:val="clear" w:color="auto" w:fill="auto"/>
            <w:noWrap/>
            <w:vAlign w:val="center"/>
          </w:tcPr>
          <w:p w14:paraId="566E8298">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vAlign w:val="top"/>
          </w:tcPr>
          <w:p w14:paraId="6054B6F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top"/>
          </w:tcPr>
          <w:p w14:paraId="591EF03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1.005</w:t>
            </w:r>
          </w:p>
        </w:tc>
        <w:tc>
          <w:tcPr>
            <w:tcW w:w="464" w:type="pct"/>
            <w:tcBorders>
              <w:top w:val="nil"/>
              <w:left w:val="nil"/>
              <w:bottom w:val="nil"/>
              <w:right w:val="nil"/>
            </w:tcBorders>
            <w:shd w:val="clear" w:color="auto" w:fill="auto"/>
            <w:noWrap/>
            <w:vAlign w:val="top"/>
          </w:tcPr>
          <w:p w14:paraId="4D11F8D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eastAsia="zh-CN" w:bidi="ar"/>
              </w:rPr>
              <w:t>.</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4A239C6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0.502</w:t>
            </w:r>
          </w:p>
        </w:tc>
        <w:tc>
          <w:tcPr>
            <w:tcW w:w="509" w:type="pct"/>
            <w:tcBorders>
              <w:top w:val="nil"/>
              <w:left w:val="nil"/>
              <w:bottom w:val="nil"/>
              <w:right w:val="nil"/>
            </w:tcBorders>
            <w:shd w:val="clear" w:color="auto" w:fill="auto"/>
            <w:noWrap/>
            <w:vAlign w:val="top"/>
          </w:tcPr>
          <w:p w14:paraId="00DBA37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0.562</w:t>
            </w:r>
          </w:p>
        </w:tc>
        <w:tc>
          <w:tcPr>
            <w:tcW w:w="509" w:type="pct"/>
            <w:tcBorders>
              <w:top w:val="nil"/>
              <w:left w:val="nil"/>
              <w:bottom w:val="nil"/>
              <w:right w:val="nil"/>
            </w:tcBorders>
            <w:shd w:val="clear" w:color="auto" w:fill="auto"/>
            <w:noWrap/>
            <w:vAlign w:val="top"/>
          </w:tcPr>
          <w:p w14:paraId="726EBA0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0.578</w:t>
            </w:r>
          </w:p>
        </w:tc>
      </w:tr>
      <w:tr w14:paraId="68DD2EA8">
        <w:tblPrEx>
          <w:tblCellMar>
            <w:top w:w="0" w:type="dxa"/>
            <w:left w:w="108" w:type="dxa"/>
            <w:bottom w:w="0" w:type="dxa"/>
            <w:right w:w="108" w:type="dxa"/>
          </w:tblCellMar>
        </w:tblPrEx>
        <w:trPr>
          <w:trHeight w:val="285" w:hRule="atLeast"/>
          <w:jc w:val="center"/>
        </w:trPr>
        <w:tc>
          <w:tcPr>
            <w:tcW w:w="698" w:type="pct"/>
            <w:vMerge w:val="continue"/>
            <w:tcBorders>
              <w:left w:val="nil"/>
              <w:right w:val="nil"/>
            </w:tcBorders>
            <w:shd w:val="clear" w:color="auto" w:fill="auto"/>
            <w:noWrap/>
            <w:vAlign w:val="center"/>
          </w:tcPr>
          <w:p w14:paraId="67AEAE13">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7BA1A13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954" w:type="pct"/>
            <w:tcBorders>
              <w:top w:val="nil"/>
              <w:left w:val="nil"/>
              <w:bottom w:val="nil"/>
              <w:right w:val="nil"/>
            </w:tcBorders>
            <w:shd w:val="clear" w:color="auto" w:fill="auto"/>
            <w:vAlign w:val="top"/>
          </w:tcPr>
          <w:p w14:paraId="6AFEB52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top"/>
          </w:tcPr>
          <w:p w14:paraId="226696E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1.522</w:t>
            </w:r>
          </w:p>
        </w:tc>
        <w:tc>
          <w:tcPr>
            <w:tcW w:w="464" w:type="pct"/>
            <w:tcBorders>
              <w:top w:val="nil"/>
              <w:left w:val="nil"/>
              <w:bottom w:val="nil"/>
              <w:right w:val="nil"/>
            </w:tcBorders>
            <w:shd w:val="clear" w:color="auto" w:fill="auto"/>
            <w:noWrap/>
            <w:vAlign w:val="top"/>
          </w:tcPr>
          <w:p w14:paraId="0796E95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1.313</w:t>
            </w:r>
          </w:p>
        </w:tc>
        <w:tc>
          <w:tcPr>
            <w:tcW w:w="535" w:type="pct"/>
            <w:tcBorders>
              <w:top w:val="nil"/>
              <w:left w:val="nil"/>
              <w:bottom w:val="nil"/>
              <w:right w:val="nil"/>
            </w:tcBorders>
            <w:shd w:val="clear" w:color="auto" w:fill="auto"/>
            <w:noWrap/>
            <w:vAlign w:val="top"/>
          </w:tcPr>
          <w:p w14:paraId="0D83253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1.159</w:t>
            </w:r>
          </w:p>
        </w:tc>
        <w:tc>
          <w:tcPr>
            <w:tcW w:w="509" w:type="pct"/>
            <w:tcBorders>
              <w:top w:val="nil"/>
              <w:left w:val="nil"/>
              <w:bottom w:val="nil"/>
              <w:right w:val="nil"/>
            </w:tcBorders>
            <w:shd w:val="clear" w:color="auto" w:fill="auto"/>
            <w:noWrap/>
            <w:vAlign w:val="top"/>
          </w:tcPr>
          <w:p w14:paraId="113D0F5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1.008</w:t>
            </w:r>
          </w:p>
        </w:tc>
        <w:tc>
          <w:tcPr>
            <w:tcW w:w="509" w:type="pct"/>
            <w:tcBorders>
              <w:top w:val="nil"/>
              <w:left w:val="nil"/>
              <w:bottom w:val="nil"/>
              <w:right w:val="nil"/>
            </w:tcBorders>
            <w:shd w:val="clear" w:color="auto" w:fill="auto"/>
            <w:noWrap/>
            <w:vAlign w:val="top"/>
          </w:tcPr>
          <w:p w14:paraId="596F05F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0.354</w:t>
            </w:r>
          </w:p>
        </w:tc>
      </w:tr>
      <w:tr w14:paraId="2A504767">
        <w:tblPrEx>
          <w:tblCellMar>
            <w:top w:w="0" w:type="dxa"/>
            <w:left w:w="108" w:type="dxa"/>
            <w:bottom w:w="0" w:type="dxa"/>
            <w:right w:w="108" w:type="dxa"/>
          </w:tblCellMar>
        </w:tblPrEx>
        <w:trPr>
          <w:trHeight w:val="285" w:hRule="atLeast"/>
          <w:jc w:val="center"/>
        </w:trPr>
        <w:tc>
          <w:tcPr>
            <w:tcW w:w="698" w:type="pct"/>
            <w:vMerge w:val="continue"/>
            <w:tcBorders>
              <w:left w:val="nil"/>
              <w:right w:val="nil"/>
            </w:tcBorders>
            <w:shd w:val="clear" w:color="auto" w:fill="auto"/>
            <w:noWrap/>
            <w:vAlign w:val="center"/>
          </w:tcPr>
          <w:p w14:paraId="2C46792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0078F55D">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vAlign w:val="top"/>
          </w:tcPr>
          <w:p w14:paraId="249DC2F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top"/>
          </w:tcPr>
          <w:p w14:paraId="28CD37B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2.46</w:t>
            </w:r>
            <w:r>
              <w:rPr>
                <w:rFonts w:hint="eastAsia" w:ascii="Times New Roman" w:hAnsi="Times New Roman" w:eastAsia="宋体"/>
                <w:color w:val="auto"/>
                <w:kern w:val="0"/>
                <w:sz w:val="21"/>
                <w:szCs w:val="24"/>
                <w:lang w:val="en-US" w:eastAsia="zh-CN" w:bidi="ar"/>
              </w:rPr>
              <w:t>0</w:t>
            </w:r>
          </w:p>
        </w:tc>
        <w:tc>
          <w:tcPr>
            <w:tcW w:w="464" w:type="pct"/>
            <w:tcBorders>
              <w:top w:val="nil"/>
              <w:left w:val="nil"/>
              <w:bottom w:val="nil"/>
              <w:right w:val="nil"/>
            </w:tcBorders>
            <w:shd w:val="clear" w:color="auto" w:fill="auto"/>
            <w:noWrap/>
            <w:vAlign w:val="top"/>
          </w:tcPr>
          <w:p w14:paraId="72C4598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495075F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1.23</w:t>
            </w:r>
            <w:r>
              <w:rPr>
                <w:rFonts w:hint="eastAsia" w:ascii="Times New Roman" w:hAnsi="Times New Roman" w:eastAsia="宋体"/>
                <w:color w:val="auto"/>
                <w:kern w:val="0"/>
                <w:sz w:val="21"/>
                <w:szCs w:val="24"/>
                <w:lang w:val="en-US" w:eastAsia="zh-CN" w:bidi="ar"/>
              </w:rPr>
              <w:t>0</w:t>
            </w:r>
          </w:p>
        </w:tc>
        <w:tc>
          <w:tcPr>
            <w:tcW w:w="509" w:type="pct"/>
            <w:tcBorders>
              <w:top w:val="nil"/>
              <w:left w:val="nil"/>
              <w:bottom w:val="nil"/>
              <w:right w:val="nil"/>
            </w:tcBorders>
            <w:shd w:val="clear" w:color="auto" w:fill="auto"/>
            <w:noWrap/>
            <w:vAlign w:val="top"/>
          </w:tcPr>
          <w:p w14:paraId="2EF8CD0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1.755</w:t>
            </w:r>
          </w:p>
        </w:tc>
        <w:tc>
          <w:tcPr>
            <w:tcW w:w="509" w:type="pct"/>
            <w:tcBorders>
              <w:top w:val="nil"/>
              <w:left w:val="nil"/>
              <w:bottom w:val="nil"/>
              <w:right w:val="nil"/>
            </w:tcBorders>
            <w:shd w:val="clear" w:color="auto" w:fill="auto"/>
            <w:noWrap/>
            <w:vAlign w:val="top"/>
          </w:tcPr>
          <w:p w14:paraId="6C783E0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0.196</w:t>
            </w:r>
          </w:p>
        </w:tc>
      </w:tr>
      <w:tr w14:paraId="36094F25">
        <w:tblPrEx>
          <w:tblCellMar>
            <w:top w:w="0" w:type="dxa"/>
            <w:left w:w="108" w:type="dxa"/>
            <w:bottom w:w="0" w:type="dxa"/>
            <w:right w:w="108" w:type="dxa"/>
          </w:tblCellMar>
        </w:tblPrEx>
        <w:trPr>
          <w:trHeight w:val="285" w:hRule="atLeast"/>
          <w:jc w:val="center"/>
        </w:trPr>
        <w:tc>
          <w:tcPr>
            <w:tcW w:w="698" w:type="pct"/>
            <w:vMerge w:val="continue"/>
            <w:tcBorders>
              <w:left w:val="nil"/>
              <w:right w:val="nil"/>
            </w:tcBorders>
            <w:shd w:val="clear" w:color="auto" w:fill="auto"/>
            <w:noWrap/>
            <w:vAlign w:val="center"/>
          </w:tcPr>
          <w:p w14:paraId="4E445167">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72FB96C5">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954" w:type="pct"/>
            <w:tcBorders>
              <w:top w:val="nil"/>
              <w:left w:val="nil"/>
              <w:bottom w:val="nil"/>
              <w:right w:val="nil"/>
            </w:tcBorders>
            <w:shd w:val="clear" w:color="auto" w:fill="auto"/>
            <w:vAlign w:val="top"/>
          </w:tcPr>
          <w:p w14:paraId="13A74E6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top"/>
          </w:tcPr>
          <w:p w14:paraId="1CF960C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0.214</w:t>
            </w:r>
          </w:p>
        </w:tc>
        <w:tc>
          <w:tcPr>
            <w:tcW w:w="464" w:type="pct"/>
            <w:tcBorders>
              <w:top w:val="nil"/>
              <w:left w:val="nil"/>
              <w:bottom w:val="nil"/>
              <w:right w:val="nil"/>
            </w:tcBorders>
            <w:shd w:val="clear" w:color="auto" w:fill="auto"/>
            <w:noWrap/>
            <w:vAlign w:val="top"/>
          </w:tcPr>
          <w:p w14:paraId="33E1AA0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6149CB3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0.107</w:t>
            </w:r>
          </w:p>
        </w:tc>
        <w:tc>
          <w:tcPr>
            <w:tcW w:w="509" w:type="pct"/>
            <w:tcBorders>
              <w:top w:val="nil"/>
              <w:left w:val="nil"/>
              <w:bottom w:val="nil"/>
              <w:right w:val="nil"/>
            </w:tcBorders>
            <w:shd w:val="clear" w:color="auto" w:fill="auto"/>
            <w:noWrap/>
            <w:vAlign w:val="top"/>
          </w:tcPr>
          <w:p w14:paraId="743F12F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0.104</w:t>
            </w:r>
          </w:p>
        </w:tc>
        <w:tc>
          <w:tcPr>
            <w:tcW w:w="509" w:type="pct"/>
            <w:tcBorders>
              <w:top w:val="nil"/>
              <w:left w:val="nil"/>
              <w:bottom w:val="nil"/>
              <w:right w:val="nil"/>
            </w:tcBorders>
            <w:shd w:val="clear" w:color="auto" w:fill="auto"/>
            <w:noWrap/>
            <w:vAlign w:val="top"/>
          </w:tcPr>
          <w:p w14:paraId="608D40B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kern w:val="0"/>
                <w:sz w:val="21"/>
                <w:szCs w:val="24"/>
                <w:lang w:eastAsia="zh-CN" w:bidi="ar"/>
              </w:rPr>
            </w:pPr>
            <w:r>
              <w:rPr>
                <w:rFonts w:hint="eastAsia" w:ascii="Times New Roman" w:hAnsi="Times New Roman" w:eastAsia="宋体"/>
                <w:color w:val="auto"/>
                <w:kern w:val="0"/>
                <w:sz w:val="21"/>
                <w:szCs w:val="24"/>
                <w:lang w:bidi="ar"/>
              </w:rPr>
              <w:t>0.902</w:t>
            </w:r>
          </w:p>
        </w:tc>
      </w:tr>
      <w:tr w14:paraId="3E2F90D3">
        <w:tblPrEx>
          <w:tblCellMar>
            <w:top w:w="0" w:type="dxa"/>
            <w:left w:w="108" w:type="dxa"/>
            <w:bottom w:w="0" w:type="dxa"/>
            <w:right w:w="108" w:type="dxa"/>
          </w:tblCellMar>
        </w:tblPrEx>
        <w:trPr>
          <w:trHeight w:val="285" w:hRule="atLeast"/>
          <w:jc w:val="center"/>
        </w:trPr>
        <w:tc>
          <w:tcPr>
            <w:tcW w:w="698" w:type="pct"/>
            <w:vMerge w:val="restart"/>
            <w:tcBorders>
              <w:left w:val="nil"/>
              <w:right w:val="nil"/>
            </w:tcBorders>
            <w:shd w:val="clear" w:color="auto" w:fill="auto"/>
            <w:noWrap/>
            <w:vAlign w:val="center"/>
          </w:tcPr>
          <w:p w14:paraId="1DEAE9ED">
            <w:pPr>
              <w:keepNext w:val="0"/>
              <w:keepLines w:val="0"/>
              <w:pageBreakBefore w:val="0"/>
              <w:kinsoku/>
              <w:wordWrap/>
              <w:overflowPunct/>
              <w:topLinePunct w:val="0"/>
              <w:autoSpaceDE/>
              <w:autoSpaceDN/>
              <w:bidi w:val="0"/>
              <w:adjustRightInd/>
              <w:snapToGrid/>
              <w:spacing w:beforeAutospacing="0" w:afterAutospacing="0" w:line="360" w:lineRule="auto"/>
              <w:rPr>
                <w:rFonts w:hint="default" w:ascii="Times New Roman" w:hAnsi="Times New Roman" w:eastAsia="宋体"/>
                <w:color w:val="auto"/>
                <w:sz w:val="21"/>
                <w:szCs w:val="24"/>
                <w:lang w:val="en-US" w:eastAsia="zh-CN"/>
              </w:rPr>
            </w:pPr>
            <w:r>
              <w:rPr>
                <w:rFonts w:hint="eastAsia" w:ascii="Times New Roman" w:hAnsi="Times New Roman" w:eastAsia="宋体"/>
                <w:color w:val="auto"/>
                <w:sz w:val="21"/>
                <w:szCs w:val="24"/>
                <w:lang w:val="en-US" w:eastAsia="zh-CN"/>
              </w:rPr>
              <w:t>POA</w:t>
            </w:r>
            <w:r>
              <w:rPr>
                <w:rFonts w:hint="eastAsia" w:ascii="Times New Roman" w:hAnsi="Times New Roman" w:eastAsia="宋体"/>
                <w:color w:val="auto"/>
                <w:sz w:val="21"/>
                <w:szCs w:val="24"/>
                <w:vertAlign w:val="subscript"/>
                <w:lang w:val="en-US" w:eastAsia="zh-CN"/>
              </w:rPr>
              <w:t>ROM</w:t>
            </w:r>
          </w:p>
        </w:tc>
        <w:tc>
          <w:tcPr>
            <w:tcW w:w="792" w:type="pct"/>
            <w:tcBorders>
              <w:top w:val="nil"/>
              <w:left w:val="nil"/>
              <w:bottom w:val="nil"/>
              <w:right w:val="nil"/>
            </w:tcBorders>
            <w:shd w:val="clear" w:color="auto" w:fill="auto"/>
            <w:noWrap/>
            <w:vAlign w:val="center"/>
          </w:tcPr>
          <w:p w14:paraId="78EFCDF6">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偏瘫侧</w:t>
            </w:r>
          </w:p>
        </w:tc>
        <w:tc>
          <w:tcPr>
            <w:tcW w:w="954" w:type="pct"/>
            <w:tcBorders>
              <w:top w:val="nil"/>
              <w:left w:val="nil"/>
              <w:bottom w:val="nil"/>
              <w:right w:val="nil"/>
            </w:tcBorders>
            <w:shd w:val="clear" w:color="auto" w:fill="auto"/>
            <w:vAlign w:val="top"/>
          </w:tcPr>
          <w:p w14:paraId="34CEBF0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top"/>
          </w:tcPr>
          <w:p w14:paraId="3F5658BC">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1.318</w:t>
            </w:r>
          </w:p>
        </w:tc>
        <w:tc>
          <w:tcPr>
            <w:tcW w:w="464" w:type="pct"/>
            <w:tcBorders>
              <w:top w:val="nil"/>
              <w:left w:val="nil"/>
              <w:bottom w:val="nil"/>
              <w:right w:val="nil"/>
            </w:tcBorders>
            <w:shd w:val="clear" w:color="auto" w:fill="auto"/>
            <w:noWrap/>
            <w:vAlign w:val="top"/>
          </w:tcPr>
          <w:p w14:paraId="77BA6DEA">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eastAsia="zh-CN" w:bidi="ar"/>
              </w:rPr>
              <w:t>.</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7F40AA97">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0.659</w:t>
            </w:r>
          </w:p>
        </w:tc>
        <w:tc>
          <w:tcPr>
            <w:tcW w:w="509" w:type="pct"/>
            <w:tcBorders>
              <w:top w:val="nil"/>
              <w:left w:val="nil"/>
              <w:bottom w:val="nil"/>
              <w:right w:val="nil"/>
            </w:tcBorders>
            <w:shd w:val="clear" w:color="auto" w:fill="auto"/>
            <w:noWrap/>
            <w:vAlign w:val="top"/>
          </w:tcPr>
          <w:p w14:paraId="61D2A31A">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0.406</w:t>
            </w:r>
          </w:p>
        </w:tc>
        <w:tc>
          <w:tcPr>
            <w:tcW w:w="509" w:type="pct"/>
            <w:tcBorders>
              <w:top w:val="nil"/>
              <w:left w:val="nil"/>
              <w:bottom w:val="nil"/>
              <w:right w:val="nil"/>
            </w:tcBorders>
            <w:shd w:val="clear" w:color="auto" w:fill="auto"/>
            <w:noWrap/>
            <w:vAlign w:val="top"/>
          </w:tcPr>
          <w:p w14:paraId="471B99DF">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0.671</w:t>
            </w:r>
          </w:p>
        </w:tc>
      </w:tr>
      <w:tr w14:paraId="5D4CD06C">
        <w:tblPrEx>
          <w:tblCellMar>
            <w:top w:w="0" w:type="dxa"/>
            <w:left w:w="108" w:type="dxa"/>
            <w:bottom w:w="0" w:type="dxa"/>
            <w:right w:w="108" w:type="dxa"/>
          </w:tblCellMar>
        </w:tblPrEx>
        <w:trPr>
          <w:trHeight w:val="285" w:hRule="atLeast"/>
          <w:jc w:val="center"/>
        </w:trPr>
        <w:tc>
          <w:tcPr>
            <w:tcW w:w="698" w:type="pct"/>
            <w:vMerge w:val="continue"/>
            <w:tcBorders>
              <w:left w:val="nil"/>
              <w:right w:val="nil"/>
            </w:tcBorders>
            <w:shd w:val="clear" w:color="auto" w:fill="auto"/>
            <w:noWrap/>
            <w:vAlign w:val="center"/>
          </w:tcPr>
          <w:p w14:paraId="7FBE3900">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1B6D867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954" w:type="pct"/>
            <w:tcBorders>
              <w:top w:val="nil"/>
              <w:left w:val="nil"/>
              <w:bottom w:val="nil"/>
              <w:right w:val="nil"/>
            </w:tcBorders>
            <w:shd w:val="clear" w:color="auto" w:fill="auto"/>
            <w:vAlign w:val="top"/>
          </w:tcPr>
          <w:p w14:paraId="3C44E84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535" w:type="pct"/>
            <w:tcBorders>
              <w:top w:val="nil"/>
              <w:left w:val="nil"/>
              <w:bottom w:val="nil"/>
              <w:right w:val="nil"/>
            </w:tcBorders>
            <w:shd w:val="clear" w:color="auto" w:fill="auto"/>
            <w:noWrap/>
            <w:vAlign w:val="top"/>
          </w:tcPr>
          <w:p w14:paraId="56499621">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3.866</w:t>
            </w:r>
          </w:p>
        </w:tc>
        <w:tc>
          <w:tcPr>
            <w:tcW w:w="464" w:type="pct"/>
            <w:tcBorders>
              <w:top w:val="nil"/>
              <w:left w:val="nil"/>
              <w:bottom w:val="nil"/>
              <w:right w:val="nil"/>
            </w:tcBorders>
            <w:shd w:val="clear" w:color="auto" w:fill="auto"/>
            <w:noWrap/>
            <w:vAlign w:val="top"/>
          </w:tcPr>
          <w:p w14:paraId="346DE969">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eastAsia="zh-CN" w:bidi="ar"/>
              </w:rPr>
              <w:t>.</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6B00B7A6">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1.933</w:t>
            </w:r>
          </w:p>
        </w:tc>
        <w:tc>
          <w:tcPr>
            <w:tcW w:w="509" w:type="pct"/>
            <w:tcBorders>
              <w:top w:val="nil"/>
              <w:left w:val="nil"/>
              <w:bottom w:val="nil"/>
              <w:right w:val="nil"/>
            </w:tcBorders>
            <w:shd w:val="clear" w:color="auto" w:fill="auto"/>
            <w:noWrap/>
            <w:vAlign w:val="top"/>
          </w:tcPr>
          <w:p w14:paraId="4DC85110">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0.994</w:t>
            </w:r>
          </w:p>
        </w:tc>
        <w:tc>
          <w:tcPr>
            <w:tcW w:w="509" w:type="pct"/>
            <w:tcBorders>
              <w:top w:val="nil"/>
              <w:left w:val="nil"/>
              <w:bottom w:val="nil"/>
              <w:right w:val="nil"/>
            </w:tcBorders>
            <w:shd w:val="clear" w:color="auto" w:fill="auto"/>
            <w:noWrap/>
            <w:vAlign w:val="top"/>
          </w:tcPr>
          <w:p w14:paraId="40B4C55E">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0.385</w:t>
            </w:r>
          </w:p>
        </w:tc>
      </w:tr>
      <w:tr w14:paraId="39104E4A">
        <w:tblPrEx>
          <w:tblCellMar>
            <w:top w:w="0" w:type="dxa"/>
            <w:left w:w="108" w:type="dxa"/>
            <w:bottom w:w="0" w:type="dxa"/>
            <w:right w:w="108" w:type="dxa"/>
          </w:tblCellMar>
        </w:tblPrEx>
        <w:trPr>
          <w:trHeight w:val="285" w:hRule="atLeast"/>
          <w:jc w:val="center"/>
        </w:trPr>
        <w:tc>
          <w:tcPr>
            <w:tcW w:w="698" w:type="pct"/>
            <w:vMerge w:val="continue"/>
            <w:tcBorders>
              <w:left w:val="nil"/>
              <w:right w:val="nil"/>
            </w:tcBorders>
            <w:shd w:val="clear" w:color="auto" w:fill="auto"/>
            <w:noWrap/>
            <w:vAlign w:val="center"/>
          </w:tcPr>
          <w:p w14:paraId="4C6F189B">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nil"/>
              <w:right w:val="nil"/>
            </w:tcBorders>
            <w:shd w:val="clear" w:color="auto" w:fill="auto"/>
            <w:noWrap/>
            <w:vAlign w:val="center"/>
          </w:tcPr>
          <w:p w14:paraId="59B3111A">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非偏瘫侧</w:t>
            </w:r>
          </w:p>
        </w:tc>
        <w:tc>
          <w:tcPr>
            <w:tcW w:w="954" w:type="pct"/>
            <w:tcBorders>
              <w:top w:val="nil"/>
              <w:left w:val="nil"/>
              <w:bottom w:val="nil"/>
              <w:right w:val="nil"/>
            </w:tcBorders>
            <w:shd w:val="clear" w:color="auto" w:fill="auto"/>
            <w:vAlign w:val="top"/>
          </w:tcPr>
          <w:p w14:paraId="1E2E2AB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室内步行组</w:t>
            </w:r>
          </w:p>
        </w:tc>
        <w:tc>
          <w:tcPr>
            <w:tcW w:w="535" w:type="pct"/>
            <w:tcBorders>
              <w:top w:val="nil"/>
              <w:left w:val="nil"/>
              <w:bottom w:val="nil"/>
              <w:right w:val="nil"/>
            </w:tcBorders>
            <w:shd w:val="clear" w:color="auto" w:fill="auto"/>
            <w:noWrap/>
            <w:vAlign w:val="top"/>
          </w:tcPr>
          <w:p w14:paraId="53259105">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3.484</w:t>
            </w:r>
          </w:p>
        </w:tc>
        <w:tc>
          <w:tcPr>
            <w:tcW w:w="464" w:type="pct"/>
            <w:tcBorders>
              <w:top w:val="nil"/>
              <w:left w:val="nil"/>
              <w:bottom w:val="nil"/>
              <w:right w:val="nil"/>
            </w:tcBorders>
            <w:shd w:val="clear" w:color="auto" w:fill="auto"/>
            <w:noWrap/>
            <w:vAlign w:val="top"/>
          </w:tcPr>
          <w:p w14:paraId="75CC5DB1">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nil"/>
              <w:right w:val="nil"/>
            </w:tcBorders>
            <w:shd w:val="clear" w:color="auto" w:fill="auto"/>
            <w:noWrap/>
            <w:vAlign w:val="top"/>
          </w:tcPr>
          <w:p w14:paraId="4C349E78">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1.742</w:t>
            </w:r>
          </w:p>
        </w:tc>
        <w:tc>
          <w:tcPr>
            <w:tcW w:w="509" w:type="pct"/>
            <w:tcBorders>
              <w:top w:val="nil"/>
              <w:left w:val="nil"/>
              <w:bottom w:val="nil"/>
              <w:right w:val="nil"/>
            </w:tcBorders>
            <w:shd w:val="clear" w:color="auto" w:fill="auto"/>
            <w:noWrap/>
            <w:vAlign w:val="top"/>
          </w:tcPr>
          <w:p w14:paraId="72A9BCF9">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0.746</w:t>
            </w:r>
          </w:p>
        </w:tc>
        <w:tc>
          <w:tcPr>
            <w:tcW w:w="509" w:type="pct"/>
            <w:tcBorders>
              <w:top w:val="nil"/>
              <w:left w:val="nil"/>
              <w:bottom w:val="nil"/>
              <w:right w:val="nil"/>
            </w:tcBorders>
            <w:shd w:val="clear" w:color="auto" w:fill="auto"/>
            <w:noWrap/>
            <w:vAlign w:val="top"/>
          </w:tcPr>
          <w:p w14:paraId="03BD4743">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0.486</w:t>
            </w:r>
          </w:p>
        </w:tc>
      </w:tr>
      <w:tr w14:paraId="29FD8A1D">
        <w:tblPrEx>
          <w:tblCellMar>
            <w:top w:w="0" w:type="dxa"/>
            <w:left w:w="108" w:type="dxa"/>
            <w:bottom w:w="0" w:type="dxa"/>
            <w:right w:w="108" w:type="dxa"/>
          </w:tblCellMar>
        </w:tblPrEx>
        <w:trPr>
          <w:trHeight w:val="285" w:hRule="atLeast"/>
          <w:jc w:val="center"/>
        </w:trPr>
        <w:tc>
          <w:tcPr>
            <w:tcW w:w="698" w:type="pct"/>
            <w:vMerge w:val="continue"/>
            <w:tcBorders>
              <w:left w:val="nil"/>
              <w:bottom w:val="single" w:color="000000" w:sz="8" w:space="0"/>
              <w:right w:val="nil"/>
            </w:tcBorders>
            <w:shd w:val="clear" w:color="auto" w:fill="auto"/>
            <w:noWrap/>
            <w:vAlign w:val="center"/>
          </w:tcPr>
          <w:p w14:paraId="752890B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olor w:val="auto"/>
                <w:sz w:val="21"/>
                <w:szCs w:val="24"/>
              </w:rPr>
            </w:pPr>
          </w:p>
        </w:tc>
        <w:tc>
          <w:tcPr>
            <w:tcW w:w="792" w:type="pct"/>
            <w:tcBorders>
              <w:top w:val="nil"/>
              <w:left w:val="nil"/>
              <w:bottom w:val="single" w:color="000000" w:sz="8" w:space="0"/>
              <w:right w:val="nil"/>
            </w:tcBorders>
            <w:shd w:val="clear" w:color="auto" w:fill="auto"/>
            <w:noWrap/>
            <w:vAlign w:val="center"/>
          </w:tcPr>
          <w:p w14:paraId="2537F8F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cs="Times New Roman"/>
                <w:color w:val="auto"/>
                <w:kern w:val="2"/>
                <w:sz w:val="21"/>
                <w:szCs w:val="24"/>
                <w:lang w:val="en-US" w:eastAsia="zh-CN" w:bidi="ar-SA"/>
              </w:rPr>
            </w:pPr>
          </w:p>
        </w:tc>
        <w:tc>
          <w:tcPr>
            <w:tcW w:w="954" w:type="pct"/>
            <w:tcBorders>
              <w:top w:val="nil"/>
              <w:left w:val="nil"/>
              <w:bottom w:val="single" w:color="000000" w:sz="8" w:space="0"/>
              <w:right w:val="nil"/>
            </w:tcBorders>
            <w:shd w:val="clear" w:color="auto" w:fill="auto"/>
            <w:vAlign w:val="top"/>
          </w:tcPr>
          <w:p w14:paraId="47C9BA2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s="Times New Roman"/>
                <w:color w:val="auto"/>
                <w:kern w:val="2"/>
                <w:sz w:val="21"/>
                <w:szCs w:val="24"/>
                <w:lang w:val="en-US" w:eastAsia="zh-CN" w:bidi="ar-SA"/>
              </w:rPr>
            </w:pPr>
            <w:r>
              <w:rPr>
                <w:rFonts w:ascii="Times New Roman" w:hAnsi="Times New Roman" w:eastAsia="宋体"/>
                <w:color w:val="auto"/>
                <w:kern w:val="0"/>
                <w:sz w:val="21"/>
                <w:szCs w:val="24"/>
                <w:lang w:bidi="ar"/>
              </w:rPr>
              <w:t>室外步行组</w:t>
            </w:r>
          </w:p>
        </w:tc>
        <w:tc>
          <w:tcPr>
            <w:tcW w:w="535" w:type="pct"/>
            <w:tcBorders>
              <w:top w:val="nil"/>
              <w:left w:val="nil"/>
              <w:bottom w:val="single" w:color="000000" w:sz="8" w:space="0"/>
              <w:right w:val="nil"/>
            </w:tcBorders>
            <w:shd w:val="clear" w:color="auto" w:fill="auto"/>
            <w:noWrap/>
            <w:vAlign w:val="top"/>
          </w:tcPr>
          <w:p w14:paraId="6EB4C01C">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4.024</w:t>
            </w:r>
          </w:p>
        </w:tc>
        <w:tc>
          <w:tcPr>
            <w:tcW w:w="464" w:type="pct"/>
            <w:tcBorders>
              <w:top w:val="nil"/>
              <w:left w:val="nil"/>
              <w:bottom w:val="single" w:color="000000" w:sz="8" w:space="0"/>
              <w:right w:val="nil"/>
            </w:tcBorders>
            <w:shd w:val="clear" w:color="auto" w:fill="auto"/>
            <w:noWrap/>
            <w:vAlign w:val="top"/>
          </w:tcPr>
          <w:p w14:paraId="0C85952D">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default"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w:t>
            </w:r>
            <w:r>
              <w:rPr>
                <w:rFonts w:hint="eastAsia" w:ascii="Times New Roman" w:hAnsi="Times New Roman" w:eastAsia="宋体"/>
                <w:color w:val="auto"/>
                <w:kern w:val="0"/>
                <w:sz w:val="21"/>
                <w:szCs w:val="24"/>
                <w:lang w:val="en-US" w:eastAsia="zh-CN" w:bidi="ar"/>
              </w:rPr>
              <w:t>.000</w:t>
            </w:r>
          </w:p>
        </w:tc>
        <w:tc>
          <w:tcPr>
            <w:tcW w:w="535" w:type="pct"/>
            <w:tcBorders>
              <w:top w:val="nil"/>
              <w:left w:val="nil"/>
              <w:bottom w:val="single" w:color="000000" w:sz="8" w:space="0"/>
              <w:right w:val="nil"/>
            </w:tcBorders>
            <w:shd w:val="clear" w:color="auto" w:fill="auto"/>
            <w:noWrap/>
            <w:vAlign w:val="top"/>
          </w:tcPr>
          <w:p w14:paraId="15E3ECCC">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2.012</w:t>
            </w:r>
          </w:p>
        </w:tc>
        <w:tc>
          <w:tcPr>
            <w:tcW w:w="509" w:type="pct"/>
            <w:tcBorders>
              <w:top w:val="nil"/>
              <w:left w:val="nil"/>
              <w:bottom w:val="single" w:color="000000" w:sz="8" w:space="0"/>
              <w:right w:val="nil"/>
            </w:tcBorders>
            <w:shd w:val="clear" w:color="auto" w:fill="auto"/>
            <w:noWrap/>
            <w:vAlign w:val="top"/>
          </w:tcPr>
          <w:p w14:paraId="0595631E">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0.735</w:t>
            </w:r>
          </w:p>
        </w:tc>
        <w:tc>
          <w:tcPr>
            <w:tcW w:w="509" w:type="pct"/>
            <w:tcBorders>
              <w:top w:val="nil"/>
              <w:left w:val="nil"/>
              <w:bottom w:val="single" w:color="000000" w:sz="8" w:space="0"/>
              <w:right w:val="nil"/>
            </w:tcBorders>
            <w:shd w:val="clear" w:color="auto" w:fill="auto"/>
            <w:noWrap/>
            <w:vAlign w:val="top"/>
          </w:tcPr>
          <w:p w14:paraId="16FEFBAB">
            <w:pPr>
              <w:keepNext w:val="0"/>
              <w:keepLines w:val="0"/>
              <w:pageBreakBefore w:val="0"/>
              <w:widowControl/>
              <w:kinsoku/>
              <w:wordWrap/>
              <w:overflowPunct/>
              <w:topLinePunct w:val="0"/>
              <w:autoSpaceDE/>
              <w:autoSpaceDN/>
              <w:bidi w:val="0"/>
              <w:adjustRightInd/>
              <w:snapToGrid/>
              <w:spacing w:beforeLines="-2147483648" w:beforeAutospacing="0" w:afterLines="-2147483648" w:afterAutospacing="0" w:line="360" w:lineRule="auto"/>
              <w:jc w:val="center"/>
              <w:textAlignment w:val="center"/>
              <w:rPr>
                <w:rFonts w:hint="eastAsia" w:ascii="Times New Roman" w:hAnsi="Times New Roman" w:eastAsia="宋体"/>
                <w:color w:val="auto"/>
                <w:kern w:val="0"/>
                <w:sz w:val="21"/>
                <w:szCs w:val="24"/>
                <w:lang w:bidi="ar"/>
              </w:rPr>
            </w:pPr>
            <w:r>
              <w:rPr>
                <w:rFonts w:hint="eastAsia" w:ascii="Times New Roman" w:hAnsi="Times New Roman" w:eastAsia="宋体"/>
                <w:color w:val="auto"/>
                <w:kern w:val="0"/>
                <w:sz w:val="21"/>
                <w:szCs w:val="24"/>
                <w:lang w:bidi="ar"/>
              </w:rPr>
              <w:t>0.49</w:t>
            </w:r>
            <w:r>
              <w:rPr>
                <w:rFonts w:hint="eastAsia" w:ascii="Times New Roman" w:hAnsi="Times New Roman" w:eastAsia="宋体"/>
                <w:color w:val="auto"/>
                <w:kern w:val="0"/>
                <w:sz w:val="21"/>
                <w:szCs w:val="24"/>
                <w:lang w:val="en-US" w:eastAsia="zh-CN" w:bidi="ar"/>
              </w:rPr>
              <w:t>0</w:t>
            </w:r>
          </w:p>
        </w:tc>
      </w:tr>
    </w:tbl>
    <w:p w14:paraId="16820DE4">
      <w:pPr>
        <w:keepNext w:val="0"/>
        <w:keepLines w:val="0"/>
        <w:pageBreakBefore w:val="0"/>
        <w:kinsoku/>
        <w:wordWrap/>
        <w:overflowPunct/>
        <w:topLinePunct w:val="0"/>
        <w:autoSpaceDE/>
        <w:autoSpaceDN/>
        <w:bidi w:val="0"/>
        <w:adjustRightInd/>
        <w:snapToGrid/>
        <w:spacing w:beforeAutospacing="0" w:afterAutospacing="0" w:line="360" w:lineRule="auto"/>
        <w:rPr>
          <w:rFonts w:ascii="Times New Roman" w:hAnsi="Times New Roman" w:eastAsia="宋体"/>
          <w:b/>
          <w:bCs/>
          <w:color w:val="auto"/>
          <w:sz w:val="21"/>
          <w:szCs w:val="24"/>
        </w:rPr>
      </w:pPr>
    </w:p>
    <w:p w14:paraId="50C840A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kern w:val="0"/>
          <w:sz w:val="21"/>
          <w:szCs w:val="24"/>
        </w:rPr>
      </w:pPr>
      <w:r>
        <w:rPr>
          <w:rFonts w:ascii="Times New Roman" w:hAnsi="Times New Roman" w:eastAsia="宋体"/>
          <w:b/>
          <w:bCs/>
          <w:color w:val="auto"/>
          <w:kern w:val="0"/>
          <w:sz w:val="21"/>
          <w:szCs w:val="24"/>
        </w:rPr>
        <w:t>表</w:t>
      </w:r>
      <w:r>
        <w:rPr>
          <w:rFonts w:hint="eastAsia" w:ascii="Times New Roman" w:hAnsi="Times New Roman" w:eastAsia="宋体"/>
          <w:b/>
          <w:bCs/>
          <w:color w:val="auto"/>
          <w:kern w:val="0"/>
          <w:sz w:val="21"/>
          <w:szCs w:val="24"/>
        </w:rPr>
        <w:t>8</w:t>
      </w:r>
      <w:r>
        <w:rPr>
          <w:rFonts w:ascii="Times New Roman" w:hAnsi="Times New Roman" w:eastAsia="宋体"/>
          <w:color w:val="auto"/>
          <w:kern w:val="0"/>
          <w:sz w:val="21"/>
          <w:szCs w:val="24"/>
        </w:rPr>
        <w:t xml:space="preserve">  骨盆X轴和Z轴各指标的事后LSD差异检验结果</w:t>
      </w:r>
    </w:p>
    <w:tbl>
      <w:tblPr>
        <w:tblStyle w:val="10"/>
        <w:tblW w:w="4997" w:type="pct"/>
        <w:jc w:val="center"/>
        <w:tblLayout w:type="autofit"/>
        <w:tblCellMar>
          <w:top w:w="0" w:type="dxa"/>
          <w:left w:w="108" w:type="dxa"/>
          <w:bottom w:w="0" w:type="dxa"/>
          <w:right w:w="108" w:type="dxa"/>
        </w:tblCellMar>
      </w:tblPr>
      <w:tblGrid>
        <w:gridCol w:w="1027"/>
        <w:gridCol w:w="1409"/>
        <w:gridCol w:w="2274"/>
        <w:gridCol w:w="1945"/>
        <w:gridCol w:w="767"/>
        <w:gridCol w:w="906"/>
        <w:gridCol w:w="908"/>
      </w:tblGrid>
      <w:tr w14:paraId="17DC5F3E">
        <w:tblPrEx>
          <w:tblCellMar>
            <w:top w:w="0" w:type="dxa"/>
            <w:left w:w="108" w:type="dxa"/>
            <w:bottom w:w="0" w:type="dxa"/>
            <w:right w:w="108" w:type="dxa"/>
          </w:tblCellMar>
        </w:tblPrEx>
        <w:trPr>
          <w:trHeight w:val="270" w:hRule="atLeast"/>
          <w:jc w:val="center"/>
        </w:trPr>
        <w:tc>
          <w:tcPr>
            <w:tcW w:w="556" w:type="pct"/>
            <w:vMerge w:val="restart"/>
            <w:tcBorders>
              <w:top w:val="single" w:color="000000" w:sz="8" w:space="0"/>
              <w:left w:val="nil"/>
              <w:right w:val="nil"/>
            </w:tcBorders>
            <w:shd w:val="clear" w:color="auto" w:fill="auto"/>
            <w:noWrap/>
            <w:vAlign w:val="center"/>
          </w:tcPr>
          <w:p w14:paraId="2D64DFB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hint="eastAsia" w:ascii="Times New Roman" w:hAnsi="Times New Roman" w:eastAsia="宋体"/>
                <w:color w:val="auto"/>
                <w:kern w:val="0"/>
                <w:sz w:val="21"/>
                <w:szCs w:val="24"/>
                <w:lang w:val="en-US" w:eastAsia="zh-CN" w:bidi="ar"/>
              </w:rPr>
            </w:pPr>
            <w:r>
              <w:rPr>
                <w:rFonts w:hint="eastAsia" w:ascii="Times New Roman" w:hAnsi="Times New Roman" w:eastAsia="宋体"/>
                <w:color w:val="auto"/>
                <w:kern w:val="0"/>
                <w:sz w:val="21"/>
                <w:szCs w:val="24"/>
                <w:lang w:val="en-US" w:eastAsia="zh-CN" w:bidi="ar"/>
              </w:rPr>
              <w:t>指标</w:t>
            </w:r>
          </w:p>
        </w:tc>
        <w:tc>
          <w:tcPr>
            <w:tcW w:w="763" w:type="pct"/>
            <w:vMerge w:val="restart"/>
            <w:tcBorders>
              <w:top w:val="single" w:color="000000" w:sz="8" w:space="0"/>
              <w:left w:val="nil"/>
              <w:right w:val="nil"/>
            </w:tcBorders>
            <w:shd w:val="clear" w:color="auto" w:fill="auto"/>
          </w:tcPr>
          <w:p w14:paraId="11E67CC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top"/>
              <w:rPr>
                <w:rFonts w:ascii="Times New Roman" w:hAnsi="Times New Roman" w:eastAsia="宋体"/>
                <w:color w:val="auto"/>
                <w:sz w:val="21"/>
                <w:szCs w:val="24"/>
              </w:rPr>
            </w:pPr>
            <w:r>
              <w:rPr>
                <w:rFonts w:hint="eastAsia" w:ascii="Times New Roman" w:hAnsi="Times New Roman" w:eastAsia="宋体"/>
                <w:color w:val="auto"/>
                <w:kern w:val="0"/>
                <w:sz w:val="21"/>
                <w:szCs w:val="24"/>
                <w:lang w:val="en-US" w:eastAsia="zh-CN" w:bidi="ar"/>
              </w:rPr>
              <w:t>组别</w:t>
            </w:r>
          </w:p>
        </w:tc>
        <w:tc>
          <w:tcPr>
            <w:tcW w:w="1230" w:type="pct"/>
            <w:vMerge w:val="restart"/>
            <w:tcBorders>
              <w:top w:val="single" w:color="000000" w:sz="8" w:space="0"/>
              <w:left w:val="nil"/>
              <w:bottom w:val="single" w:color="000000" w:sz="8" w:space="0"/>
              <w:right w:val="nil"/>
            </w:tcBorders>
            <w:shd w:val="clear" w:color="auto" w:fill="auto"/>
            <w:vAlign w:val="center"/>
          </w:tcPr>
          <w:p w14:paraId="524D418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eastAsia="zh-CN"/>
              </w:rPr>
            </w:pPr>
            <w:r>
              <w:rPr>
                <w:rFonts w:hint="eastAsia" w:ascii="Times New Roman" w:hAnsi="Times New Roman" w:eastAsia="宋体"/>
                <w:color w:val="auto"/>
                <w:kern w:val="0"/>
                <w:sz w:val="21"/>
                <w:szCs w:val="24"/>
                <w:lang w:val="en-US" w:eastAsia="zh-CN" w:bidi="ar"/>
              </w:rPr>
              <w:t>对比组</w:t>
            </w:r>
          </w:p>
        </w:tc>
        <w:tc>
          <w:tcPr>
            <w:tcW w:w="1052" w:type="pct"/>
            <w:vMerge w:val="restart"/>
            <w:tcBorders>
              <w:top w:val="single" w:color="000000" w:sz="8" w:space="0"/>
              <w:left w:val="nil"/>
              <w:bottom w:val="single" w:color="000000" w:sz="8" w:space="0"/>
              <w:right w:val="nil"/>
            </w:tcBorders>
            <w:shd w:val="clear" w:color="auto" w:fill="auto"/>
            <w:vAlign w:val="center"/>
          </w:tcPr>
          <w:p w14:paraId="7BC070A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eastAsia="zh-CN"/>
              </w:rPr>
            </w:pPr>
            <w:r>
              <w:rPr>
                <w:rFonts w:ascii="Times New Roman" w:hAnsi="Times New Roman" w:eastAsia="宋体"/>
                <w:color w:val="auto"/>
                <w:kern w:val="0"/>
                <w:sz w:val="21"/>
                <w:szCs w:val="24"/>
                <w:lang w:bidi="ar"/>
              </w:rPr>
              <w:t>平均值差</w:t>
            </w:r>
            <w:r>
              <w:rPr>
                <w:rFonts w:ascii="Times New Roman" w:hAnsi="Times New Roman" w:eastAsia="宋体" w:cs="Times New Roman"/>
                <w:b/>
                <w:bCs/>
                <w:i w:val="0"/>
                <w:iCs w:val="0"/>
                <w:caps w:val="0"/>
                <w:color w:val="404040"/>
                <w:spacing w:val="0"/>
                <w:sz w:val="22"/>
                <w:szCs w:val="22"/>
                <w:shd w:val="clear" w:fill="FFFFFF"/>
              </w:rPr>
              <w:t>（</w:t>
            </w:r>
            <w:r>
              <w:rPr>
                <w:rFonts w:hint="default" w:ascii="Times New Roman" w:hAnsi="Times New Roman" w:eastAsia="宋体" w:cs="Times New Roman"/>
                <w:b w:val="0"/>
                <w:bCs w:val="0"/>
                <w:i w:val="0"/>
                <w:iCs w:val="0"/>
                <w:caps w:val="0"/>
                <w:color w:val="404040"/>
                <w:spacing w:val="0"/>
                <w:sz w:val="21"/>
                <w:szCs w:val="21"/>
                <w:shd w:val="clear" w:fill="FFFFFF"/>
                <w:lang w:val="en-US" w:eastAsia="zh-CN"/>
              </w:rPr>
              <w:t>I-J</w:t>
            </w:r>
            <w:r>
              <w:rPr>
                <w:rFonts w:ascii="Times New Roman" w:hAnsi="Times New Roman" w:eastAsia="宋体" w:cs="Times New Roman"/>
                <w:b/>
                <w:bCs/>
                <w:i w:val="0"/>
                <w:iCs w:val="0"/>
                <w:caps w:val="0"/>
                <w:color w:val="404040"/>
                <w:spacing w:val="0"/>
                <w:sz w:val="21"/>
                <w:szCs w:val="21"/>
                <w:shd w:val="clear" w:fill="FFFFFF"/>
              </w:rPr>
              <w:t>）</w:t>
            </w:r>
          </w:p>
        </w:tc>
        <w:tc>
          <w:tcPr>
            <w:tcW w:w="415" w:type="pct"/>
            <w:vMerge w:val="restart"/>
            <w:tcBorders>
              <w:top w:val="single" w:color="000000" w:sz="8" w:space="0"/>
              <w:left w:val="nil"/>
              <w:bottom w:val="single" w:color="000000" w:sz="8" w:space="0"/>
              <w:right w:val="nil"/>
            </w:tcBorders>
            <w:shd w:val="clear" w:color="auto" w:fill="auto"/>
            <w:vAlign w:val="center"/>
          </w:tcPr>
          <w:p w14:paraId="20AE737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i/>
                <w:iCs/>
                <w:color w:val="auto"/>
                <w:sz w:val="21"/>
                <w:szCs w:val="24"/>
              </w:rPr>
            </w:pPr>
            <w:r>
              <w:rPr>
                <w:rFonts w:ascii="Times New Roman" w:hAnsi="Times New Roman" w:eastAsia="宋体"/>
                <w:i/>
                <w:iCs/>
                <w:color w:val="auto"/>
                <w:kern w:val="0"/>
                <w:sz w:val="21"/>
                <w:szCs w:val="24"/>
                <w:lang w:bidi="ar"/>
              </w:rPr>
              <w:t>P</w:t>
            </w:r>
            <w:r>
              <w:rPr>
                <w:rFonts w:ascii="Times New Roman" w:hAnsi="Times New Roman" w:eastAsia="宋体"/>
                <w:i w:val="0"/>
                <w:iCs w:val="0"/>
                <w:color w:val="auto"/>
                <w:kern w:val="0"/>
                <w:sz w:val="21"/>
                <w:szCs w:val="24"/>
                <w:lang w:bidi="ar"/>
              </w:rPr>
              <w:t>值</w:t>
            </w:r>
          </w:p>
        </w:tc>
        <w:tc>
          <w:tcPr>
            <w:tcW w:w="981" w:type="pct"/>
            <w:gridSpan w:val="2"/>
            <w:tcBorders>
              <w:top w:val="single" w:color="000000" w:sz="8" w:space="0"/>
              <w:left w:val="nil"/>
              <w:bottom w:val="single" w:color="auto" w:sz="4" w:space="0"/>
              <w:right w:val="nil"/>
            </w:tcBorders>
            <w:shd w:val="clear" w:color="auto" w:fill="auto"/>
            <w:vAlign w:val="center"/>
          </w:tcPr>
          <w:p w14:paraId="5F8F4F2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95%</w:t>
            </w:r>
            <w:r>
              <w:rPr>
                <w:rFonts w:ascii="Times New Roman" w:hAnsi="Times New Roman" w:eastAsia="宋体"/>
                <w:i w:val="0"/>
                <w:iCs w:val="0"/>
                <w:color w:val="auto"/>
                <w:kern w:val="0"/>
                <w:sz w:val="21"/>
                <w:szCs w:val="24"/>
                <w:lang w:bidi="ar"/>
              </w:rPr>
              <w:t>CI</w:t>
            </w:r>
          </w:p>
        </w:tc>
      </w:tr>
      <w:tr w14:paraId="722E560B">
        <w:tblPrEx>
          <w:tblCellMar>
            <w:top w:w="0" w:type="dxa"/>
            <w:left w:w="108" w:type="dxa"/>
            <w:bottom w:w="0" w:type="dxa"/>
            <w:right w:w="108" w:type="dxa"/>
          </w:tblCellMar>
        </w:tblPrEx>
        <w:trPr>
          <w:trHeight w:val="356" w:hRule="atLeast"/>
          <w:jc w:val="center"/>
        </w:trPr>
        <w:tc>
          <w:tcPr>
            <w:tcW w:w="556" w:type="pct"/>
            <w:vMerge w:val="continue"/>
            <w:tcBorders>
              <w:left w:val="nil"/>
              <w:bottom w:val="single" w:color="000000" w:sz="8" w:space="0"/>
              <w:right w:val="nil"/>
            </w:tcBorders>
            <w:shd w:val="clear" w:color="auto" w:fill="auto"/>
            <w:noWrap/>
            <w:vAlign w:val="center"/>
          </w:tcPr>
          <w:p w14:paraId="7C3E795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left w:val="nil"/>
              <w:bottom w:val="single" w:color="000000" w:sz="8" w:space="0"/>
              <w:right w:val="nil"/>
            </w:tcBorders>
            <w:shd w:val="clear" w:color="auto" w:fill="auto"/>
          </w:tcPr>
          <w:p w14:paraId="03C27BD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vMerge w:val="continue"/>
            <w:tcBorders>
              <w:top w:val="single" w:color="000000" w:sz="8" w:space="0"/>
              <w:left w:val="nil"/>
              <w:bottom w:val="single" w:color="000000" w:sz="8" w:space="0"/>
              <w:right w:val="nil"/>
            </w:tcBorders>
            <w:shd w:val="clear" w:color="auto" w:fill="auto"/>
            <w:vAlign w:val="center"/>
          </w:tcPr>
          <w:p w14:paraId="5716A50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052" w:type="pct"/>
            <w:vMerge w:val="continue"/>
            <w:tcBorders>
              <w:top w:val="single" w:color="000000" w:sz="8" w:space="0"/>
              <w:left w:val="nil"/>
              <w:bottom w:val="single" w:color="000000" w:sz="8" w:space="0"/>
              <w:right w:val="nil"/>
            </w:tcBorders>
            <w:shd w:val="clear" w:color="auto" w:fill="auto"/>
            <w:vAlign w:val="center"/>
          </w:tcPr>
          <w:p w14:paraId="312CD01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415" w:type="pct"/>
            <w:vMerge w:val="continue"/>
            <w:tcBorders>
              <w:top w:val="single" w:color="000000" w:sz="8" w:space="0"/>
              <w:left w:val="nil"/>
              <w:bottom w:val="single" w:color="000000" w:sz="8" w:space="0"/>
              <w:right w:val="nil"/>
            </w:tcBorders>
            <w:shd w:val="clear" w:color="auto" w:fill="auto"/>
            <w:vAlign w:val="center"/>
          </w:tcPr>
          <w:p w14:paraId="1F36B98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i/>
                <w:iCs/>
                <w:color w:val="auto"/>
                <w:sz w:val="21"/>
                <w:szCs w:val="24"/>
              </w:rPr>
            </w:pPr>
          </w:p>
        </w:tc>
        <w:tc>
          <w:tcPr>
            <w:tcW w:w="490" w:type="pct"/>
            <w:tcBorders>
              <w:top w:val="single" w:color="auto" w:sz="4" w:space="0"/>
              <w:left w:val="nil"/>
              <w:bottom w:val="single" w:color="000000" w:sz="8" w:space="0"/>
              <w:right w:val="nil"/>
            </w:tcBorders>
            <w:shd w:val="clear" w:color="auto" w:fill="auto"/>
            <w:vAlign w:val="center"/>
          </w:tcPr>
          <w:p w14:paraId="1179117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上限</w:t>
            </w:r>
          </w:p>
        </w:tc>
        <w:tc>
          <w:tcPr>
            <w:tcW w:w="490" w:type="pct"/>
            <w:tcBorders>
              <w:top w:val="single" w:color="auto" w:sz="4" w:space="0"/>
              <w:left w:val="nil"/>
              <w:bottom w:val="single" w:color="000000" w:sz="8" w:space="0"/>
              <w:right w:val="nil"/>
            </w:tcBorders>
            <w:shd w:val="clear" w:color="auto" w:fill="auto"/>
            <w:vAlign w:val="center"/>
          </w:tcPr>
          <w:p w14:paraId="6CA0DC3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下限</w:t>
            </w:r>
          </w:p>
        </w:tc>
      </w:tr>
      <w:tr w14:paraId="1A10AF19">
        <w:tblPrEx>
          <w:tblCellMar>
            <w:top w:w="0" w:type="dxa"/>
            <w:left w:w="108" w:type="dxa"/>
            <w:bottom w:w="0" w:type="dxa"/>
            <w:right w:w="108" w:type="dxa"/>
          </w:tblCellMar>
        </w:tblPrEx>
        <w:trPr>
          <w:trHeight w:val="270" w:hRule="atLeast"/>
          <w:jc w:val="center"/>
        </w:trPr>
        <w:tc>
          <w:tcPr>
            <w:tcW w:w="556" w:type="pct"/>
            <w:vMerge w:val="restart"/>
            <w:tcBorders>
              <w:top w:val="nil"/>
              <w:left w:val="nil"/>
              <w:bottom w:val="nil"/>
              <w:right w:val="nil"/>
            </w:tcBorders>
            <w:shd w:val="clear" w:color="auto" w:fill="auto"/>
            <w:noWrap/>
            <w:vAlign w:val="center"/>
          </w:tcPr>
          <w:p w14:paraId="76A7D94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w:t>
            </w:r>
          </w:p>
        </w:tc>
        <w:tc>
          <w:tcPr>
            <w:tcW w:w="763" w:type="pct"/>
            <w:vMerge w:val="restart"/>
            <w:tcBorders>
              <w:top w:val="nil"/>
              <w:left w:val="nil"/>
              <w:bottom w:val="nil"/>
              <w:right w:val="nil"/>
            </w:tcBorders>
            <w:shd w:val="clear" w:color="auto" w:fill="auto"/>
            <w:noWrap/>
            <w:vAlign w:val="center"/>
          </w:tcPr>
          <w:p w14:paraId="20469D2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1230" w:type="pct"/>
            <w:tcBorders>
              <w:top w:val="nil"/>
              <w:left w:val="nil"/>
              <w:bottom w:val="nil"/>
              <w:right w:val="nil"/>
            </w:tcBorders>
            <w:shd w:val="clear" w:color="auto" w:fill="auto"/>
            <w:noWrap/>
            <w:vAlign w:val="center"/>
          </w:tcPr>
          <w:p w14:paraId="5007DBD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p>
        </w:tc>
        <w:tc>
          <w:tcPr>
            <w:tcW w:w="1052" w:type="pct"/>
            <w:tcBorders>
              <w:top w:val="nil"/>
              <w:left w:val="nil"/>
              <w:bottom w:val="nil"/>
              <w:right w:val="nil"/>
            </w:tcBorders>
            <w:shd w:val="clear" w:color="auto" w:fill="auto"/>
            <w:noWrap/>
            <w:vAlign w:val="center"/>
          </w:tcPr>
          <w:p w14:paraId="1DEE078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w:t>
            </w:r>
            <w:r>
              <w:rPr>
                <w:rFonts w:hint="eastAsia" w:ascii="Times New Roman" w:hAnsi="Times New Roman" w:eastAsia="宋体"/>
                <w:color w:val="auto"/>
                <w:kern w:val="0"/>
                <w:sz w:val="21"/>
                <w:szCs w:val="24"/>
                <w:lang w:val="en-US" w:eastAsia="zh-CN" w:bidi="ar"/>
              </w:rPr>
              <w:t>0.</w:t>
            </w:r>
            <w:r>
              <w:rPr>
                <w:rFonts w:ascii="Times New Roman" w:hAnsi="Times New Roman" w:eastAsia="宋体"/>
                <w:color w:val="auto"/>
                <w:kern w:val="0"/>
                <w:sz w:val="21"/>
                <w:szCs w:val="24"/>
                <w:lang w:bidi="ar"/>
              </w:rPr>
              <w:t>683</w:t>
            </w:r>
          </w:p>
        </w:tc>
        <w:tc>
          <w:tcPr>
            <w:tcW w:w="415" w:type="pct"/>
            <w:tcBorders>
              <w:top w:val="nil"/>
              <w:left w:val="nil"/>
              <w:bottom w:val="nil"/>
              <w:right w:val="nil"/>
            </w:tcBorders>
            <w:shd w:val="clear" w:color="auto" w:fill="auto"/>
            <w:noWrap/>
            <w:vAlign w:val="center"/>
          </w:tcPr>
          <w:p w14:paraId="4FA4AB7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019</w:t>
            </w:r>
          </w:p>
        </w:tc>
        <w:tc>
          <w:tcPr>
            <w:tcW w:w="490" w:type="pct"/>
            <w:tcBorders>
              <w:top w:val="nil"/>
              <w:left w:val="nil"/>
              <w:bottom w:val="nil"/>
              <w:right w:val="nil"/>
            </w:tcBorders>
            <w:shd w:val="clear" w:color="auto" w:fill="auto"/>
            <w:noWrap/>
            <w:vAlign w:val="center"/>
          </w:tcPr>
          <w:p w14:paraId="7B5244F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244</w:t>
            </w:r>
          </w:p>
        </w:tc>
        <w:tc>
          <w:tcPr>
            <w:tcW w:w="490" w:type="pct"/>
            <w:tcBorders>
              <w:top w:val="nil"/>
              <w:left w:val="nil"/>
              <w:bottom w:val="nil"/>
              <w:right w:val="nil"/>
            </w:tcBorders>
            <w:shd w:val="clear" w:color="auto" w:fill="auto"/>
            <w:noWrap/>
            <w:vAlign w:val="center"/>
          </w:tcPr>
          <w:p w14:paraId="1E2C06E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123</w:t>
            </w:r>
          </w:p>
        </w:tc>
      </w:tr>
      <w:tr w14:paraId="6E24DEB8">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0D19FEE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39543C2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6F93ACE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5E4481A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71</w:t>
            </w:r>
            <w:r>
              <w:rPr>
                <w:rFonts w:hint="eastAsia" w:ascii="Times New Roman" w:hAnsi="Times New Roman" w:eastAsia="宋体"/>
                <w:color w:val="auto"/>
                <w:kern w:val="0"/>
                <w:sz w:val="21"/>
                <w:szCs w:val="24"/>
                <w:lang w:val="en-US" w:eastAsia="zh-CN" w:bidi="ar"/>
              </w:rPr>
              <w:t>0</w:t>
            </w:r>
          </w:p>
        </w:tc>
        <w:tc>
          <w:tcPr>
            <w:tcW w:w="415" w:type="pct"/>
            <w:tcBorders>
              <w:top w:val="nil"/>
              <w:left w:val="nil"/>
              <w:bottom w:val="nil"/>
              <w:right w:val="nil"/>
            </w:tcBorders>
            <w:shd w:val="clear" w:color="auto" w:fill="auto"/>
            <w:noWrap/>
            <w:vAlign w:val="center"/>
          </w:tcPr>
          <w:p w14:paraId="052FBB9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076</w:t>
            </w:r>
          </w:p>
        </w:tc>
        <w:tc>
          <w:tcPr>
            <w:tcW w:w="490" w:type="pct"/>
            <w:tcBorders>
              <w:top w:val="nil"/>
              <w:left w:val="nil"/>
              <w:bottom w:val="nil"/>
              <w:right w:val="nil"/>
            </w:tcBorders>
            <w:shd w:val="clear" w:color="auto" w:fill="auto"/>
            <w:noWrap/>
            <w:vAlign w:val="center"/>
          </w:tcPr>
          <w:p w14:paraId="133C5F5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5</w:t>
            </w:r>
            <w:r>
              <w:rPr>
                <w:rFonts w:hint="eastAsia" w:ascii="Times New Roman" w:hAnsi="Times New Roman" w:eastAsia="宋体"/>
                <w:color w:val="auto"/>
                <w:kern w:val="0"/>
                <w:sz w:val="21"/>
                <w:szCs w:val="24"/>
                <w:lang w:val="en-US" w:eastAsia="zh-CN" w:bidi="ar"/>
              </w:rPr>
              <w:t>00</w:t>
            </w:r>
          </w:p>
        </w:tc>
        <w:tc>
          <w:tcPr>
            <w:tcW w:w="490" w:type="pct"/>
            <w:tcBorders>
              <w:top w:val="nil"/>
              <w:left w:val="nil"/>
              <w:bottom w:val="nil"/>
              <w:right w:val="nil"/>
            </w:tcBorders>
            <w:shd w:val="clear" w:color="auto" w:fill="auto"/>
            <w:noWrap/>
            <w:vAlign w:val="center"/>
          </w:tcPr>
          <w:p w14:paraId="0E22F53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081</w:t>
            </w:r>
          </w:p>
        </w:tc>
      </w:tr>
      <w:tr w14:paraId="5B2C9E08">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1781201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4FB91E3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0BCA357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7DA8300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027</w:t>
            </w:r>
          </w:p>
        </w:tc>
        <w:tc>
          <w:tcPr>
            <w:tcW w:w="415" w:type="pct"/>
            <w:tcBorders>
              <w:top w:val="nil"/>
              <w:left w:val="nil"/>
              <w:bottom w:val="nil"/>
              <w:right w:val="nil"/>
            </w:tcBorders>
            <w:shd w:val="clear" w:color="auto" w:fill="auto"/>
            <w:noWrap/>
            <w:vAlign w:val="center"/>
          </w:tcPr>
          <w:p w14:paraId="38473C0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924</w:t>
            </w:r>
          </w:p>
        </w:tc>
        <w:tc>
          <w:tcPr>
            <w:tcW w:w="490" w:type="pct"/>
            <w:tcBorders>
              <w:top w:val="nil"/>
              <w:left w:val="nil"/>
              <w:bottom w:val="nil"/>
              <w:right w:val="nil"/>
            </w:tcBorders>
            <w:shd w:val="clear" w:color="auto" w:fill="auto"/>
            <w:noWrap/>
            <w:vAlign w:val="center"/>
          </w:tcPr>
          <w:p w14:paraId="1FD5ECE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595</w:t>
            </w:r>
          </w:p>
        </w:tc>
        <w:tc>
          <w:tcPr>
            <w:tcW w:w="490" w:type="pct"/>
            <w:tcBorders>
              <w:top w:val="nil"/>
              <w:left w:val="nil"/>
              <w:bottom w:val="nil"/>
              <w:right w:val="nil"/>
            </w:tcBorders>
            <w:shd w:val="clear" w:color="auto" w:fill="auto"/>
            <w:noWrap/>
            <w:vAlign w:val="center"/>
          </w:tcPr>
          <w:p w14:paraId="6CED002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541</w:t>
            </w:r>
          </w:p>
        </w:tc>
      </w:tr>
      <w:tr w14:paraId="590C99E6">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9B7711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6D7A9DE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w:t>
            </w:r>
            <w:r>
              <w:rPr>
                <w:rFonts w:hint="eastAsia" w:ascii="Times New Roman" w:hAnsi="Times New Roman" w:eastAsia="宋体"/>
                <w:color w:val="auto"/>
                <w:kern w:val="0"/>
                <w:sz w:val="21"/>
                <w:szCs w:val="24"/>
                <w:lang w:bidi="ar"/>
              </w:rPr>
              <w:t>组</w:t>
            </w:r>
          </w:p>
        </w:tc>
        <w:tc>
          <w:tcPr>
            <w:tcW w:w="1230" w:type="pct"/>
            <w:tcBorders>
              <w:top w:val="nil"/>
              <w:left w:val="nil"/>
              <w:bottom w:val="nil"/>
              <w:right w:val="nil"/>
            </w:tcBorders>
            <w:shd w:val="clear" w:color="auto" w:fill="auto"/>
            <w:noWrap/>
            <w:vAlign w:val="center"/>
          </w:tcPr>
          <w:p w14:paraId="14088E3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p>
        </w:tc>
        <w:tc>
          <w:tcPr>
            <w:tcW w:w="1052" w:type="pct"/>
            <w:tcBorders>
              <w:top w:val="nil"/>
              <w:left w:val="nil"/>
              <w:bottom w:val="nil"/>
              <w:right w:val="nil"/>
            </w:tcBorders>
            <w:shd w:val="clear" w:color="auto" w:fill="auto"/>
            <w:noWrap/>
            <w:vAlign w:val="center"/>
          </w:tcPr>
          <w:p w14:paraId="3BD4336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597</w:t>
            </w:r>
          </w:p>
        </w:tc>
        <w:tc>
          <w:tcPr>
            <w:tcW w:w="415" w:type="pct"/>
            <w:tcBorders>
              <w:top w:val="nil"/>
              <w:left w:val="nil"/>
              <w:bottom w:val="nil"/>
              <w:right w:val="nil"/>
            </w:tcBorders>
            <w:shd w:val="clear" w:color="auto" w:fill="auto"/>
            <w:noWrap/>
            <w:vAlign w:val="center"/>
          </w:tcPr>
          <w:p w14:paraId="56C41D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007</w:t>
            </w:r>
          </w:p>
        </w:tc>
        <w:tc>
          <w:tcPr>
            <w:tcW w:w="490" w:type="pct"/>
            <w:tcBorders>
              <w:top w:val="nil"/>
              <w:left w:val="nil"/>
              <w:bottom w:val="nil"/>
              <w:right w:val="nil"/>
            </w:tcBorders>
            <w:shd w:val="clear" w:color="auto" w:fill="auto"/>
            <w:noWrap/>
            <w:vAlign w:val="center"/>
          </w:tcPr>
          <w:p w14:paraId="3CB739B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655</w:t>
            </w:r>
          </w:p>
        </w:tc>
        <w:tc>
          <w:tcPr>
            <w:tcW w:w="490" w:type="pct"/>
            <w:tcBorders>
              <w:top w:val="nil"/>
              <w:left w:val="nil"/>
              <w:bottom w:val="nil"/>
              <w:right w:val="nil"/>
            </w:tcBorders>
            <w:shd w:val="clear" w:color="auto" w:fill="auto"/>
            <w:noWrap/>
            <w:vAlign w:val="center"/>
          </w:tcPr>
          <w:p w14:paraId="5C2D832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54</w:t>
            </w:r>
            <w:r>
              <w:rPr>
                <w:rFonts w:hint="eastAsia" w:ascii="Times New Roman" w:hAnsi="Times New Roman" w:eastAsia="宋体"/>
                <w:color w:val="auto"/>
                <w:kern w:val="0"/>
                <w:sz w:val="21"/>
                <w:szCs w:val="24"/>
                <w:lang w:val="en-US" w:eastAsia="zh-CN" w:bidi="ar"/>
              </w:rPr>
              <w:t>0</w:t>
            </w:r>
          </w:p>
        </w:tc>
      </w:tr>
      <w:tr w14:paraId="0D50D7D3">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378F1A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61DAAEF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D770EC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44193B8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418</w:t>
            </w:r>
          </w:p>
        </w:tc>
        <w:tc>
          <w:tcPr>
            <w:tcW w:w="415" w:type="pct"/>
            <w:tcBorders>
              <w:top w:val="nil"/>
              <w:left w:val="nil"/>
              <w:bottom w:val="nil"/>
              <w:right w:val="nil"/>
            </w:tcBorders>
            <w:shd w:val="clear" w:color="auto" w:fill="auto"/>
            <w:noWrap/>
            <w:vAlign w:val="center"/>
          </w:tcPr>
          <w:p w14:paraId="170CA08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031</w:t>
            </w:r>
          </w:p>
        </w:tc>
        <w:tc>
          <w:tcPr>
            <w:tcW w:w="490" w:type="pct"/>
            <w:tcBorders>
              <w:top w:val="nil"/>
              <w:left w:val="nil"/>
              <w:bottom w:val="nil"/>
              <w:right w:val="nil"/>
            </w:tcBorders>
            <w:shd w:val="clear" w:color="auto" w:fill="auto"/>
            <w:noWrap/>
            <w:vAlign w:val="center"/>
          </w:tcPr>
          <w:p w14:paraId="5A780F2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682</w:t>
            </w:r>
          </w:p>
        </w:tc>
        <w:tc>
          <w:tcPr>
            <w:tcW w:w="490" w:type="pct"/>
            <w:tcBorders>
              <w:top w:val="nil"/>
              <w:left w:val="nil"/>
              <w:bottom w:val="nil"/>
              <w:right w:val="nil"/>
            </w:tcBorders>
            <w:shd w:val="clear" w:color="auto" w:fill="auto"/>
            <w:noWrap/>
            <w:vAlign w:val="center"/>
          </w:tcPr>
          <w:p w14:paraId="4AE9FB0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153</w:t>
            </w:r>
          </w:p>
        </w:tc>
      </w:tr>
      <w:tr w14:paraId="01F6FB80">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717472A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1B60131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4FC934B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4F67EEF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18</w:t>
            </w:r>
            <w:r>
              <w:rPr>
                <w:rFonts w:hint="eastAsia" w:ascii="Times New Roman" w:hAnsi="Times New Roman" w:eastAsia="宋体"/>
                <w:color w:val="auto"/>
                <w:kern w:val="0"/>
                <w:sz w:val="21"/>
                <w:szCs w:val="24"/>
                <w:lang w:val="en-US" w:eastAsia="zh-CN" w:bidi="ar"/>
              </w:rPr>
              <w:t>0</w:t>
            </w:r>
          </w:p>
        </w:tc>
        <w:tc>
          <w:tcPr>
            <w:tcW w:w="415" w:type="pct"/>
            <w:tcBorders>
              <w:top w:val="nil"/>
              <w:left w:val="nil"/>
              <w:bottom w:val="nil"/>
              <w:right w:val="nil"/>
            </w:tcBorders>
            <w:shd w:val="clear" w:color="auto" w:fill="auto"/>
            <w:noWrap/>
            <w:vAlign w:val="center"/>
          </w:tcPr>
          <w:p w14:paraId="61468FB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713</w:t>
            </w:r>
          </w:p>
        </w:tc>
        <w:tc>
          <w:tcPr>
            <w:tcW w:w="490" w:type="pct"/>
            <w:tcBorders>
              <w:top w:val="nil"/>
              <w:left w:val="nil"/>
              <w:bottom w:val="nil"/>
              <w:right w:val="nil"/>
            </w:tcBorders>
            <w:shd w:val="clear" w:color="auto" w:fill="auto"/>
            <w:noWrap/>
            <w:vAlign w:val="center"/>
          </w:tcPr>
          <w:p w14:paraId="6B03EBC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868</w:t>
            </w:r>
          </w:p>
        </w:tc>
        <w:tc>
          <w:tcPr>
            <w:tcW w:w="490" w:type="pct"/>
            <w:tcBorders>
              <w:top w:val="nil"/>
              <w:left w:val="nil"/>
              <w:bottom w:val="nil"/>
              <w:right w:val="nil"/>
            </w:tcBorders>
            <w:shd w:val="clear" w:color="auto" w:fill="auto"/>
            <w:noWrap/>
            <w:vAlign w:val="center"/>
          </w:tcPr>
          <w:p w14:paraId="1078B65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228</w:t>
            </w:r>
          </w:p>
        </w:tc>
      </w:tr>
      <w:tr w14:paraId="54BACADF">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7B1B083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5716C7A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w:t>
            </w:r>
            <w:r>
              <w:rPr>
                <w:rFonts w:hint="eastAsia" w:ascii="Times New Roman" w:hAnsi="Times New Roman" w:eastAsia="宋体"/>
                <w:color w:val="auto"/>
                <w:kern w:val="0"/>
                <w:sz w:val="21"/>
                <w:szCs w:val="24"/>
                <w:lang w:bidi="ar"/>
              </w:rPr>
              <w:t>组</w:t>
            </w:r>
          </w:p>
        </w:tc>
        <w:tc>
          <w:tcPr>
            <w:tcW w:w="1230" w:type="pct"/>
            <w:tcBorders>
              <w:top w:val="nil"/>
              <w:left w:val="nil"/>
              <w:bottom w:val="nil"/>
              <w:right w:val="nil"/>
            </w:tcBorders>
            <w:shd w:val="clear" w:color="auto" w:fill="auto"/>
            <w:noWrap/>
            <w:vAlign w:val="center"/>
          </w:tcPr>
          <w:p w14:paraId="1FF524F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p>
        </w:tc>
        <w:tc>
          <w:tcPr>
            <w:tcW w:w="1052" w:type="pct"/>
            <w:tcBorders>
              <w:top w:val="nil"/>
              <w:left w:val="nil"/>
              <w:bottom w:val="nil"/>
              <w:right w:val="nil"/>
            </w:tcBorders>
            <w:shd w:val="clear" w:color="auto" w:fill="auto"/>
            <w:noWrap/>
            <w:vAlign w:val="center"/>
          </w:tcPr>
          <w:p w14:paraId="48704F0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231</w:t>
            </w:r>
          </w:p>
        </w:tc>
        <w:tc>
          <w:tcPr>
            <w:tcW w:w="415" w:type="pct"/>
            <w:tcBorders>
              <w:top w:val="nil"/>
              <w:left w:val="nil"/>
              <w:bottom w:val="nil"/>
              <w:right w:val="nil"/>
            </w:tcBorders>
            <w:shd w:val="clear" w:color="auto" w:fill="auto"/>
            <w:noWrap/>
            <w:vAlign w:val="center"/>
          </w:tcPr>
          <w:p w14:paraId="1795DEA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416</w:t>
            </w:r>
          </w:p>
        </w:tc>
        <w:tc>
          <w:tcPr>
            <w:tcW w:w="490" w:type="pct"/>
            <w:tcBorders>
              <w:top w:val="nil"/>
              <w:left w:val="nil"/>
              <w:bottom w:val="nil"/>
              <w:right w:val="nil"/>
            </w:tcBorders>
            <w:shd w:val="clear" w:color="auto" w:fill="auto"/>
            <w:noWrap/>
            <w:vAlign w:val="center"/>
          </w:tcPr>
          <w:p w14:paraId="6B8B44D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366</w:t>
            </w:r>
          </w:p>
        </w:tc>
        <w:tc>
          <w:tcPr>
            <w:tcW w:w="490" w:type="pct"/>
            <w:tcBorders>
              <w:top w:val="nil"/>
              <w:left w:val="nil"/>
              <w:bottom w:val="nil"/>
              <w:right w:val="nil"/>
            </w:tcBorders>
            <w:shd w:val="clear" w:color="auto" w:fill="auto"/>
            <w:noWrap/>
            <w:vAlign w:val="center"/>
          </w:tcPr>
          <w:p w14:paraId="58DDEC3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827</w:t>
            </w:r>
          </w:p>
        </w:tc>
      </w:tr>
      <w:tr w14:paraId="0127212B">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1D05BA4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7FC7495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B56A1B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050D214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002</w:t>
            </w:r>
          </w:p>
        </w:tc>
        <w:tc>
          <w:tcPr>
            <w:tcW w:w="415" w:type="pct"/>
            <w:tcBorders>
              <w:top w:val="nil"/>
              <w:left w:val="nil"/>
              <w:bottom w:val="nil"/>
              <w:right w:val="nil"/>
            </w:tcBorders>
            <w:shd w:val="clear" w:color="auto" w:fill="auto"/>
            <w:noWrap/>
            <w:vAlign w:val="center"/>
          </w:tcPr>
          <w:p w14:paraId="63C1359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996</w:t>
            </w:r>
          </w:p>
        </w:tc>
        <w:tc>
          <w:tcPr>
            <w:tcW w:w="490" w:type="pct"/>
            <w:tcBorders>
              <w:top w:val="nil"/>
              <w:left w:val="nil"/>
              <w:bottom w:val="nil"/>
              <w:right w:val="nil"/>
            </w:tcBorders>
            <w:shd w:val="clear" w:color="auto" w:fill="auto"/>
            <w:noWrap/>
            <w:vAlign w:val="center"/>
          </w:tcPr>
          <w:p w14:paraId="0631DB8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109</w:t>
            </w:r>
          </w:p>
        </w:tc>
        <w:tc>
          <w:tcPr>
            <w:tcW w:w="490" w:type="pct"/>
            <w:tcBorders>
              <w:top w:val="nil"/>
              <w:left w:val="nil"/>
              <w:bottom w:val="nil"/>
              <w:right w:val="nil"/>
            </w:tcBorders>
            <w:shd w:val="clear" w:color="auto" w:fill="auto"/>
            <w:noWrap/>
            <w:vAlign w:val="center"/>
          </w:tcPr>
          <w:p w14:paraId="41C0165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104</w:t>
            </w:r>
          </w:p>
        </w:tc>
      </w:tr>
      <w:tr w14:paraId="22DF218D">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5301C4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31B8B4D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5FE8F7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max3</w:t>
            </w:r>
          </w:p>
        </w:tc>
        <w:tc>
          <w:tcPr>
            <w:tcW w:w="1052" w:type="pct"/>
            <w:tcBorders>
              <w:top w:val="nil"/>
              <w:left w:val="nil"/>
              <w:bottom w:val="nil"/>
              <w:right w:val="nil"/>
            </w:tcBorders>
            <w:shd w:val="clear" w:color="auto" w:fill="auto"/>
            <w:noWrap/>
            <w:vAlign w:val="center"/>
          </w:tcPr>
          <w:p w14:paraId="150BDE9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233</w:t>
            </w:r>
          </w:p>
        </w:tc>
        <w:tc>
          <w:tcPr>
            <w:tcW w:w="415" w:type="pct"/>
            <w:tcBorders>
              <w:top w:val="nil"/>
              <w:left w:val="nil"/>
              <w:bottom w:val="nil"/>
              <w:right w:val="nil"/>
            </w:tcBorders>
            <w:shd w:val="clear" w:color="auto" w:fill="auto"/>
            <w:noWrap/>
            <w:vAlign w:val="center"/>
          </w:tcPr>
          <w:p w14:paraId="03676E7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441</w:t>
            </w:r>
          </w:p>
        </w:tc>
        <w:tc>
          <w:tcPr>
            <w:tcW w:w="490" w:type="pct"/>
            <w:tcBorders>
              <w:top w:val="nil"/>
              <w:left w:val="nil"/>
              <w:bottom w:val="nil"/>
              <w:right w:val="nil"/>
            </w:tcBorders>
            <w:shd w:val="clear" w:color="auto" w:fill="auto"/>
            <w:noWrap/>
            <w:vAlign w:val="center"/>
          </w:tcPr>
          <w:p w14:paraId="3205D81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87</w:t>
            </w:r>
            <w:r>
              <w:rPr>
                <w:rFonts w:hint="eastAsia" w:ascii="Times New Roman" w:hAnsi="Times New Roman" w:eastAsia="宋体"/>
                <w:color w:val="auto"/>
                <w:kern w:val="0"/>
                <w:sz w:val="21"/>
                <w:szCs w:val="24"/>
                <w:lang w:val="en-US" w:eastAsia="zh-CN" w:bidi="ar"/>
              </w:rPr>
              <w:t>0</w:t>
            </w:r>
          </w:p>
        </w:tc>
        <w:tc>
          <w:tcPr>
            <w:tcW w:w="490" w:type="pct"/>
            <w:tcBorders>
              <w:top w:val="nil"/>
              <w:left w:val="nil"/>
              <w:bottom w:val="nil"/>
              <w:right w:val="nil"/>
            </w:tcBorders>
            <w:shd w:val="clear" w:color="auto" w:fill="auto"/>
            <w:noWrap/>
            <w:vAlign w:val="center"/>
          </w:tcPr>
          <w:p w14:paraId="253FFD2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404</w:t>
            </w:r>
          </w:p>
        </w:tc>
      </w:tr>
      <w:tr w14:paraId="47267603">
        <w:tblPrEx>
          <w:tblCellMar>
            <w:top w:w="0" w:type="dxa"/>
            <w:left w:w="108" w:type="dxa"/>
            <w:bottom w:w="0" w:type="dxa"/>
            <w:right w:w="108" w:type="dxa"/>
          </w:tblCellMar>
        </w:tblPrEx>
        <w:trPr>
          <w:trHeight w:val="270" w:hRule="atLeast"/>
          <w:jc w:val="center"/>
        </w:trPr>
        <w:tc>
          <w:tcPr>
            <w:tcW w:w="556" w:type="pct"/>
            <w:vMerge w:val="restart"/>
            <w:tcBorders>
              <w:top w:val="nil"/>
              <w:left w:val="nil"/>
              <w:bottom w:val="nil"/>
              <w:right w:val="nil"/>
            </w:tcBorders>
            <w:shd w:val="clear" w:color="auto" w:fill="auto"/>
            <w:noWrap/>
            <w:vAlign w:val="center"/>
          </w:tcPr>
          <w:p w14:paraId="6516DF0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p>
        </w:tc>
        <w:tc>
          <w:tcPr>
            <w:tcW w:w="763" w:type="pct"/>
            <w:vMerge w:val="restart"/>
            <w:tcBorders>
              <w:top w:val="nil"/>
              <w:left w:val="nil"/>
              <w:bottom w:val="nil"/>
              <w:right w:val="nil"/>
            </w:tcBorders>
            <w:shd w:val="clear" w:color="auto" w:fill="auto"/>
            <w:noWrap/>
            <w:vAlign w:val="center"/>
          </w:tcPr>
          <w:p w14:paraId="39773A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1230" w:type="pct"/>
            <w:tcBorders>
              <w:top w:val="nil"/>
              <w:left w:val="nil"/>
              <w:bottom w:val="nil"/>
              <w:right w:val="nil"/>
            </w:tcBorders>
            <w:shd w:val="clear" w:color="auto" w:fill="auto"/>
            <w:noWrap/>
            <w:vAlign w:val="center"/>
          </w:tcPr>
          <w:p w14:paraId="2E12F9F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4A0A468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377</w:t>
            </w:r>
          </w:p>
        </w:tc>
        <w:tc>
          <w:tcPr>
            <w:tcW w:w="415" w:type="pct"/>
            <w:tcBorders>
              <w:top w:val="nil"/>
              <w:left w:val="nil"/>
              <w:bottom w:val="nil"/>
              <w:right w:val="nil"/>
            </w:tcBorders>
            <w:shd w:val="clear" w:color="auto" w:fill="auto"/>
            <w:noWrap/>
            <w:vAlign w:val="center"/>
          </w:tcPr>
          <w:p w14:paraId="0740111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073</w:t>
            </w:r>
          </w:p>
        </w:tc>
        <w:tc>
          <w:tcPr>
            <w:tcW w:w="490" w:type="pct"/>
            <w:tcBorders>
              <w:top w:val="nil"/>
              <w:left w:val="nil"/>
              <w:bottom w:val="nil"/>
              <w:right w:val="nil"/>
            </w:tcBorders>
            <w:shd w:val="clear" w:color="auto" w:fill="auto"/>
            <w:noWrap/>
            <w:vAlign w:val="center"/>
          </w:tcPr>
          <w:p w14:paraId="3FDB8E3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792</w:t>
            </w:r>
          </w:p>
        </w:tc>
        <w:tc>
          <w:tcPr>
            <w:tcW w:w="490" w:type="pct"/>
            <w:tcBorders>
              <w:top w:val="nil"/>
              <w:left w:val="nil"/>
              <w:bottom w:val="nil"/>
              <w:right w:val="nil"/>
            </w:tcBorders>
            <w:shd w:val="clear" w:color="auto" w:fill="auto"/>
            <w:noWrap/>
            <w:vAlign w:val="center"/>
          </w:tcPr>
          <w:p w14:paraId="64EBDA6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038</w:t>
            </w:r>
          </w:p>
        </w:tc>
      </w:tr>
      <w:tr w14:paraId="6653CA9F">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298A2DB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35081959">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2C145B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3B663DA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val="en-US" w:eastAsia="zh-CN" w:bidi="ar"/>
              </w:rPr>
              <w:t>−0.</w:t>
            </w:r>
            <w:r>
              <w:rPr>
                <w:rFonts w:ascii="Times New Roman" w:hAnsi="Times New Roman" w:eastAsia="宋体"/>
                <w:color w:val="auto"/>
                <w:kern w:val="0"/>
                <w:sz w:val="21"/>
                <w:szCs w:val="24"/>
                <w:lang w:bidi="ar"/>
              </w:rPr>
              <w:t>497</w:t>
            </w:r>
          </w:p>
        </w:tc>
        <w:tc>
          <w:tcPr>
            <w:tcW w:w="415" w:type="pct"/>
            <w:tcBorders>
              <w:top w:val="nil"/>
              <w:left w:val="nil"/>
              <w:bottom w:val="nil"/>
              <w:right w:val="nil"/>
            </w:tcBorders>
            <w:shd w:val="clear" w:color="auto" w:fill="auto"/>
            <w:noWrap/>
            <w:vAlign w:val="center"/>
          </w:tcPr>
          <w:p w14:paraId="5C5826E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004</w:t>
            </w:r>
          </w:p>
        </w:tc>
        <w:tc>
          <w:tcPr>
            <w:tcW w:w="490" w:type="pct"/>
            <w:tcBorders>
              <w:top w:val="nil"/>
              <w:left w:val="nil"/>
              <w:bottom w:val="nil"/>
              <w:right w:val="nil"/>
            </w:tcBorders>
            <w:shd w:val="clear" w:color="auto" w:fill="auto"/>
            <w:noWrap/>
            <w:vAlign w:val="center"/>
          </w:tcPr>
          <w:p w14:paraId="3CD85F3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817</w:t>
            </w:r>
          </w:p>
        </w:tc>
        <w:tc>
          <w:tcPr>
            <w:tcW w:w="490" w:type="pct"/>
            <w:tcBorders>
              <w:top w:val="nil"/>
              <w:left w:val="nil"/>
              <w:bottom w:val="nil"/>
              <w:right w:val="nil"/>
            </w:tcBorders>
            <w:shd w:val="clear" w:color="auto" w:fill="auto"/>
            <w:noWrap/>
            <w:vAlign w:val="center"/>
          </w:tcPr>
          <w:p w14:paraId="53C9231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178</w:t>
            </w:r>
          </w:p>
        </w:tc>
      </w:tr>
      <w:tr w14:paraId="70766906">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3791287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56CAADA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3875D27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23E04FE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12</w:t>
            </w:r>
            <w:r>
              <w:rPr>
                <w:rFonts w:hint="eastAsia" w:ascii="Times New Roman" w:hAnsi="Times New Roman" w:eastAsia="宋体"/>
                <w:color w:val="auto"/>
                <w:kern w:val="0"/>
                <w:sz w:val="21"/>
                <w:szCs w:val="24"/>
                <w:lang w:val="en-US" w:eastAsia="zh-CN" w:bidi="ar"/>
              </w:rPr>
              <w:t>0</w:t>
            </w:r>
          </w:p>
        </w:tc>
        <w:tc>
          <w:tcPr>
            <w:tcW w:w="415" w:type="pct"/>
            <w:tcBorders>
              <w:top w:val="nil"/>
              <w:left w:val="nil"/>
              <w:bottom w:val="nil"/>
              <w:right w:val="nil"/>
            </w:tcBorders>
            <w:shd w:val="clear" w:color="auto" w:fill="auto"/>
            <w:noWrap/>
            <w:vAlign w:val="center"/>
          </w:tcPr>
          <w:p w14:paraId="6F67438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452</w:t>
            </w:r>
          </w:p>
        </w:tc>
        <w:tc>
          <w:tcPr>
            <w:tcW w:w="490" w:type="pct"/>
            <w:tcBorders>
              <w:top w:val="nil"/>
              <w:left w:val="nil"/>
              <w:bottom w:val="nil"/>
              <w:right w:val="nil"/>
            </w:tcBorders>
            <w:shd w:val="clear" w:color="auto" w:fill="auto"/>
            <w:noWrap/>
            <w:vAlign w:val="center"/>
          </w:tcPr>
          <w:p w14:paraId="6795E19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445</w:t>
            </w:r>
          </w:p>
        </w:tc>
        <w:tc>
          <w:tcPr>
            <w:tcW w:w="490" w:type="pct"/>
            <w:tcBorders>
              <w:top w:val="nil"/>
              <w:left w:val="nil"/>
              <w:bottom w:val="nil"/>
              <w:right w:val="nil"/>
            </w:tcBorders>
            <w:shd w:val="clear" w:color="auto" w:fill="auto"/>
            <w:noWrap/>
            <w:vAlign w:val="center"/>
          </w:tcPr>
          <w:p w14:paraId="7BFB3D9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205</w:t>
            </w:r>
          </w:p>
        </w:tc>
      </w:tr>
      <w:tr w14:paraId="40208721">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09A7FA9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0C459D5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w:t>
            </w:r>
            <w:r>
              <w:rPr>
                <w:rFonts w:hint="eastAsia" w:ascii="Times New Roman" w:hAnsi="Times New Roman" w:eastAsia="宋体"/>
                <w:color w:val="auto"/>
                <w:kern w:val="0"/>
                <w:sz w:val="21"/>
                <w:szCs w:val="24"/>
                <w:lang w:bidi="ar"/>
              </w:rPr>
              <w:t>组</w:t>
            </w:r>
          </w:p>
          <w:p w14:paraId="65B10F2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54A040F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020CC31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437</w:t>
            </w:r>
          </w:p>
        </w:tc>
        <w:tc>
          <w:tcPr>
            <w:tcW w:w="415" w:type="pct"/>
            <w:tcBorders>
              <w:top w:val="nil"/>
              <w:left w:val="nil"/>
              <w:bottom w:val="nil"/>
              <w:right w:val="nil"/>
            </w:tcBorders>
            <w:shd w:val="clear" w:color="auto" w:fill="auto"/>
            <w:noWrap/>
            <w:vAlign w:val="center"/>
          </w:tcPr>
          <w:p w14:paraId="3EA3E52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14</w:t>
            </w:r>
            <w:r>
              <w:rPr>
                <w:rFonts w:hint="eastAsia" w:ascii="Times New Roman" w:hAnsi="Times New Roman" w:eastAsia="宋体"/>
                <w:color w:val="auto"/>
                <w:kern w:val="0"/>
                <w:sz w:val="21"/>
                <w:szCs w:val="24"/>
                <w:lang w:val="en-US" w:eastAsia="zh-CN" w:bidi="ar"/>
              </w:rPr>
              <w:t>0</w:t>
            </w:r>
          </w:p>
        </w:tc>
        <w:tc>
          <w:tcPr>
            <w:tcW w:w="490" w:type="pct"/>
            <w:tcBorders>
              <w:top w:val="nil"/>
              <w:left w:val="nil"/>
              <w:bottom w:val="nil"/>
              <w:right w:val="nil"/>
            </w:tcBorders>
            <w:shd w:val="clear" w:color="auto" w:fill="auto"/>
            <w:noWrap/>
            <w:vAlign w:val="center"/>
          </w:tcPr>
          <w:p w14:paraId="3099CBD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044</w:t>
            </w:r>
          </w:p>
        </w:tc>
        <w:tc>
          <w:tcPr>
            <w:tcW w:w="490" w:type="pct"/>
            <w:tcBorders>
              <w:top w:val="nil"/>
              <w:left w:val="nil"/>
              <w:bottom w:val="nil"/>
              <w:right w:val="nil"/>
            </w:tcBorders>
            <w:shd w:val="clear" w:color="auto" w:fill="auto"/>
            <w:noWrap/>
            <w:vAlign w:val="center"/>
          </w:tcPr>
          <w:p w14:paraId="172D4E4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169</w:t>
            </w:r>
          </w:p>
        </w:tc>
      </w:tr>
      <w:tr w14:paraId="5BA55962">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3AECE39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2CE2FEB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B520EB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116E028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353</w:t>
            </w:r>
          </w:p>
        </w:tc>
        <w:tc>
          <w:tcPr>
            <w:tcW w:w="415" w:type="pct"/>
            <w:tcBorders>
              <w:top w:val="nil"/>
              <w:left w:val="nil"/>
              <w:bottom w:val="nil"/>
              <w:right w:val="nil"/>
            </w:tcBorders>
            <w:shd w:val="clear" w:color="auto" w:fill="auto"/>
            <w:noWrap/>
            <w:vAlign w:val="center"/>
          </w:tcPr>
          <w:p w14:paraId="4462F55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157</w:t>
            </w:r>
          </w:p>
        </w:tc>
        <w:tc>
          <w:tcPr>
            <w:tcW w:w="490" w:type="pct"/>
            <w:tcBorders>
              <w:top w:val="nil"/>
              <w:left w:val="nil"/>
              <w:bottom w:val="nil"/>
              <w:right w:val="nil"/>
            </w:tcBorders>
            <w:shd w:val="clear" w:color="auto" w:fill="auto"/>
            <w:noWrap/>
            <w:vAlign w:val="center"/>
          </w:tcPr>
          <w:p w14:paraId="236BDD3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866</w:t>
            </w:r>
          </w:p>
        </w:tc>
        <w:tc>
          <w:tcPr>
            <w:tcW w:w="490" w:type="pct"/>
            <w:tcBorders>
              <w:top w:val="nil"/>
              <w:left w:val="nil"/>
              <w:bottom w:val="nil"/>
              <w:right w:val="nil"/>
            </w:tcBorders>
            <w:shd w:val="clear" w:color="auto" w:fill="auto"/>
            <w:noWrap/>
            <w:vAlign w:val="center"/>
          </w:tcPr>
          <w:p w14:paraId="7C120DB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159</w:t>
            </w:r>
          </w:p>
        </w:tc>
      </w:tr>
      <w:tr w14:paraId="5C16EBDD">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7162E31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79AE9EB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3B0B45D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332268B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084</w:t>
            </w:r>
          </w:p>
        </w:tc>
        <w:tc>
          <w:tcPr>
            <w:tcW w:w="415" w:type="pct"/>
            <w:tcBorders>
              <w:top w:val="nil"/>
              <w:left w:val="nil"/>
              <w:bottom w:val="nil"/>
              <w:right w:val="nil"/>
            </w:tcBorders>
            <w:shd w:val="clear" w:color="auto" w:fill="auto"/>
            <w:noWrap/>
            <w:vAlign w:val="center"/>
          </w:tcPr>
          <w:p w14:paraId="4A177DB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709</w:t>
            </w:r>
          </w:p>
        </w:tc>
        <w:tc>
          <w:tcPr>
            <w:tcW w:w="490" w:type="pct"/>
            <w:tcBorders>
              <w:top w:val="nil"/>
              <w:left w:val="nil"/>
              <w:bottom w:val="nil"/>
              <w:right w:val="nil"/>
            </w:tcBorders>
            <w:shd w:val="clear" w:color="auto" w:fill="auto"/>
            <w:noWrap/>
            <w:vAlign w:val="center"/>
          </w:tcPr>
          <w:p w14:paraId="023E6B1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w:t>
            </w:r>
            <w:r>
              <w:rPr>
                <w:rFonts w:hint="eastAsia" w:ascii="Times New Roman" w:hAnsi="Times New Roman" w:eastAsia="宋体"/>
                <w:color w:val="auto"/>
                <w:kern w:val="0"/>
                <w:sz w:val="21"/>
                <w:szCs w:val="24"/>
                <w:lang w:val="en-US" w:eastAsia="zh-CN" w:bidi="ar"/>
              </w:rPr>
              <w:t>00</w:t>
            </w:r>
          </w:p>
        </w:tc>
        <w:tc>
          <w:tcPr>
            <w:tcW w:w="490" w:type="pct"/>
            <w:tcBorders>
              <w:top w:val="nil"/>
              <w:left w:val="nil"/>
              <w:bottom w:val="nil"/>
              <w:right w:val="nil"/>
            </w:tcBorders>
            <w:shd w:val="clear" w:color="auto" w:fill="auto"/>
            <w:noWrap/>
            <w:vAlign w:val="center"/>
          </w:tcPr>
          <w:p w14:paraId="2F9E044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568</w:t>
            </w:r>
          </w:p>
        </w:tc>
      </w:tr>
      <w:tr w14:paraId="5BA05442">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7663667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5E5F7DC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w:t>
            </w:r>
            <w:r>
              <w:rPr>
                <w:rFonts w:hint="eastAsia" w:ascii="Times New Roman" w:hAnsi="Times New Roman" w:eastAsia="宋体"/>
                <w:color w:val="auto"/>
                <w:kern w:val="0"/>
                <w:sz w:val="21"/>
                <w:szCs w:val="24"/>
                <w:lang w:bidi="ar"/>
              </w:rPr>
              <w:t>组</w:t>
            </w:r>
          </w:p>
        </w:tc>
        <w:tc>
          <w:tcPr>
            <w:tcW w:w="1230" w:type="pct"/>
            <w:tcBorders>
              <w:top w:val="nil"/>
              <w:left w:val="nil"/>
              <w:bottom w:val="nil"/>
              <w:right w:val="nil"/>
            </w:tcBorders>
            <w:shd w:val="clear" w:color="auto" w:fill="auto"/>
            <w:noWrap/>
            <w:vAlign w:val="center"/>
          </w:tcPr>
          <w:p w14:paraId="106960A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708F305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316</w:t>
            </w:r>
          </w:p>
        </w:tc>
        <w:tc>
          <w:tcPr>
            <w:tcW w:w="415" w:type="pct"/>
            <w:tcBorders>
              <w:top w:val="nil"/>
              <w:left w:val="nil"/>
              <w:bottom w:val="nil"/>
              <w:right w:val="nil"/>
            </w:tcBorders>
            <w:shd w:val="clear" w:color="auto" w:fill="auto"/>
            <w:noWrap/>
            <w:vAlign w:val="center"/>
          </w:tcPr>
          <w:p w14:paraId="403F01A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297</w:t>
            </w:r>
          </w:p>
        </w:tc>
        <w:tc>
          <w:tcPr>
            <w:tcW w:w="490" w:type="pct"/>
            <w:tcBorders>
              <w:top w:val="nil"/>
              <w:left w:val="nil"/>
              <w:bottom w:val="nil"/>
              <w:right w:val="nil"/>
            </w:tcBorders>
            <w:shd w:val="clear" w:color="auto" w:fill="auto"/>
            <w:noWrap/>
            <w:vAlign w:val="center"/>
          </w:tcPr>
          <w:p w14:paraId="4C2F416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948</w:t>
            </w:r>
          </w:p>
        </w:tc>
        <w:tc>
          <w:tcPr>
            <w:tcW w:w="490" w:type="pct"/>
            <w:tcBorders>
              <w:top w:val="nil"/>
              <w:left w:val="nil"/>
              <w:bottom w:val="nil"/>
              <w:right w:val="nil"/>
            </w:tcBorders>
            <w:shd w:val="clear" w:color="auto" w:fill="auto"/>
            <w:noWrap/>
            <w:vAlign w:val="center"/>
          </w:tcPr>
          <w:p w14:paraId="4BECEF2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316</w:t>
            </w:r>
          </w:p>
        </w:tc>
      </w:tr>
      <w:tr w14:paraId="6BB32BAD">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30CD49AF">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4E90930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B64F57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7FFA771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val="en-US" w:eastAsia="zh-CN" w:bidi="ar"/>
              </w:rPr>
              <w:t>−0.</w:t>
            </w:r>
            <w:r>
              <w:rPr>
                <w:rFonts w:ascii="Times New Roman" w:hAnsi="Times New Roman" w:eastAsia="宋体"/>
                <w:color w:val="auto"/>
                <w:kern w:val="0"/>
                <w:sz w:val="21"/>
                <w:szCs w:val="24"/>
                <w:lang w:bidi="ar"/>
              </w:rPr>
              <w:t>641</w:t>
            </w:r>
          </w:p>
        </w:tc>
        <w:tc>
          <w:tcPr>
            <w:tcW w:w="415" w:type="pct"/>
            <w:tcBorders>
              <w:top w:val="nil"/>
              <w:left w:val="nil"/>
              <w:bottom w:val="nil"/>
              <w:right w:val="nil"/>
            </w:tcBorders>
            <w:shd w:val="clear" w:color="auto" w:fill="auto"/>
            <w:noWrap/>
            <w:vAlign w:val="center"/>
          </w:tcPr>
          <w:p w14:paraId="46B6D0A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009</w:t>
            </w:r>
          </w:p>
        </w:tc>
        <w:tc>
          <w:tcPr>
            <w:tcW w:w="490" w:type="pct"/>
            <w:tcBorders>
              <w:top w:val="nil"/>
              <w:left w:val="nil"/>
              <w:bottom w:val="nil"/>
              <w:right w:val="nil"/>
            </w:tcBorders>
            <w:shd w:val="clear" w:color="auto" w:fill="auto"/>
            <w:noWrap/>
            <w:vAlign w:val="center"/>
          </w:tcPr>
          <w:p w14:paraId="6E7015F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087</w:t>
            </w:r>
          </w:p>
        </w:tc>
        <w:tc>
          <w:tcPr>
            <w:tcW w:w="490" w:type="pct"/>
            <w:tcBorders>
              <w:top w:val="nil"/>
              <w:left w:val="nil"/>
              <w:bottom w:val="nil"/>
              <w:right w:val="nil"/>
            </w:tcBorders>
            <w:shd w:val="clear" w:color="auto" w:fill="auto"/>
            <w:noWrap/>
            <w:vAlign w:val="center"/>
          </w:tcPr>
          <w:p w14:paraId="5D06DF5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195</w:t>
            </w:r>
          </w:p>
        </w:tc>
      </w:tr>
      <w:tr w14:paraId="1F27EB78">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39F7D97">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28A1D982">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642206E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PTA</w:t>
            </w:r>
            <w:r>
              <w:rPr>
                <w:rFonts w:ascii="Times New Roman" w:hAnsi="Times New Roman" w:eastAsia="宋体"/>
                <w:color w:val="auto"/>
                <w:kern w:val="0"/>
                <w:sz w:val="21"/>
                <w:szCs w:val="24"/>
                <w:vertAlign w:val="subscript"/>
                <w:lang w:bidi="ar"/>
              </w:rPr>
              <w:t>ROM</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5E65228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325</w:t>
            </w:r>
          </w:p>
        </w:tc>
        <w:tc>
          <w:tcPr>
            <w:tcW w:w="415" w:type="pct"/>
            <w:tcBorders>
              <w:top w:val="nil"/>
              <w:left w:val="nil"/>
              <w:bottom w:val="nil"/>
              <w:right w:val="nil"/>
            </w:tcBorders>
            <w:shd w:val="clear" w:color="auto" w:fill="auto"/>
            <w:noWrap/>
            <w:vAlign w:val="center"/>
          </w:tcPr>
          <w:p w14:paraId="68E966D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172</w:t>
            </w:r>
          </w:p>
        </w:tc>
        <w:tc>
          <w:tcPr>
            <w:tcW w:w="490" w:type="pct"/>
            <w:tcBorders>
              <w:top w:val="nil"/>
              <w:left w:val="nil"/>
              <w:bottom w:val="nil"/>
              <w:right w:val="nil"/>
            </w:tcBorders>
            <w:shd w:val="clear" w:color="auto" w:fill="auto"/>
            <w:noWrap/>
            <w:vAlign w:val="center"/>
          </w:tcPr>
          <w:p w14:paraId="5D1AED8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811</w:t>
            </w:r>
          </w:p>
        </w:tc>
        <w:tc>
          <w:tcPr>
            <w:tcW w:w="490" w:type="pct"/>
            <w:tcBorders>
              <w:top w:val="nil"/>
              <w:left w:val="nil"/>
              <w:bottom w:val="nil"/>
              <w:right w:val="nil"/>
            </w:tcBorders>
            <w:shd w:val="clear" w:color="auto" w:fill="auto"/>
            <w:noWrap/>
            <w:vAlign w:val="center"/>
          </w:tcPr>
          <w:p w14:paraId="6D16CF9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162</w:t>
            </w:r>
          </w:p>
        </w:tc>
      </w:tr>
      <w:tr w14:paraId="458F40CE">
        <w:tblPrEx>
          <w:tblCellMar>
            <w:top w:w="0" w:type="dxa"/>
            <w:left w:w="108" w:type="dxa"/>
            <w:bottom w:w="0" w:type="dxa"/>
            <w:right w:w="108" w:type="dxa"/>
          </w:tblCellMar>
        </w:tblPrEx>
        <w:trPr>
          <w:trHeight w:val="270" w:hRule="atLeast"/>
          <w:jc w:val="center"/>
        </w:trPr>
        <w:tc>
          <w:tcPr>
            <w:tcW w:w="556" w:type="pct"/>
            <w:vMerge w:val="restart"/>
            <w:tcBorders>
              <w:top w:val="nil"/>
              <w:left w:val="nil"/>
              <w:bottom w:val="nil"/>
              <w:right w:val="nil"/>
            </w:tcBorders>
            <w:shd w:val="clear" w:color="auto" w:fill="auto"/>
            <w:noWrap/>
            <w:vAlign w:val="center"/>
          </w:tcPr>
          <w:p w14:paraId="598112D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p>
        </w:tc>
        <w:tc>
          <w:tcPr>
            <w:tcW w:w="763" w:type="pct"/>
            <w:vMerge w:val="restart"/>
            <w:tcBorders>
              <w:top w:val="nil"/>
              <w:left w:val="nil"/>
              <w:bottom w:val="nil"/>
              <w:right w:val="nil"/>
            </w:tcBorders>
            <w:shd w:val="clear" w:color="auto" w:fill="auto"/>
            <w:noWrap/>
            <w:vAlign w:val="center"/>
          </w:tcPr>
          <w:p w14:paraId="47BD91E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分组前</w:t>
            </w:r>
          </w:p>
        </w:tc>
        <w:tc>
          <w:tcPr>
            <w:tcW w:w="1230" w:type="pct"/>
            <w:tcBorders>
              <w:top w:val="nil"/>
              <w:left w:val="nil"/>
              <w:bottom w:val="nil"/>
              <w:right w:val="nil"/>
            </w:tcBorders>
            <w:shd w:val="clear" w:color="auto" w:fill="auto"/>
            <w:noWrap/>
            <w:vAlign w:val="center"/>
          </w:tcPr>
          <w:p w14:paraId="4E945C0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42CFE10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281</w:t>
            </w:r>
          </w:p>
        </w:tc>
        <w:tc>
          <w:tcPr>
            <w:tcW w:w="415" w:type="pct"/>
            <w:tcBorders>
              <w:top w:val="nil"/>
              <w:left w:val="nil"/>
              <w:bottom w:val="nil"/>
              <w:right w:val="nil"/>
            </w:tcBorders>
            <w:shd w:val="clear" w:color="auto" w:fill="auto"/>
            <w:noWrap/>
            <w:vAlign w:val="center"/>
          </w:tcPr>
          <w:p w14:paraId="3BF7ED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36</w:t>
            </w:r>
            <w:r>
              <w:rPr>
                <w:rFonts w:hint="eastAsia" w:ascii="Times New Roman" w:hAnsi="Times New Roman" w:eastAsia="宋体"/>
                <w:color w:val="auto"/>
                <w:kern w:val="0"/>
                <w:sz w:val="21"/>
                <w:szCs w:val="24"/>
                <w:lang w:val="en-US" w:eastAsia="zh-CN" w:bidi="ar"/>
              </w:rPr>
              <w:t>0</w:t>
            </w:r>
          </w:p>
        </w:tc>
        <w:tc>
          <w:tcPr>
            <w:tcW w:w="490" w:type="pct"/>
            <w:tcBorders>
              <w:top w:val="nil"/>
              <w:left w:val="nil"/>
              <w:bottom w:val="nil"/>
              <w:right w:val="nil"/>
            </w:tcBorders>
            <w:shd w:val="clear" w:color="auto" w:fill="auto"/>
            <w:noWrap/>
            <w:vAlign w:val="center"/>
          </w:tcPr>
          <w:p w14:paraId="316611E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342</w:t>
            </w:r>
          </w:p>
        </w:tc>
        <w:tc>
          <w:tcPr>
            <w:tcW w:w="490" w:type="pct"/>
            <w:tcBorders>
              <w:top w:val="nil"/>
              <w:left w:val="nil"/>
              <w:bottom w:val="nil"/>
              <w:right w:val="nil"/>
            </w:tcBorders>
            <w:shd w:val="clear" w:color="auto" w:fill="auto"/>
            <w:noWrap/>
            <w:vAlign w:val="center"/>
          </w:tcPr>
          <w:p w14:paraId="33C91DF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904</w:t>
            </w:r>
          </w:p>
        </w:tc>
      </w:tr>
      <w:tr w14:paraId="09158A5D">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23B601E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1873669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E34664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5259695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sz w:val="21"/>
                <w:lang w:val="en-US" w:eastAsia="zh-CN"/>
              </w:rPr>
              <w:t>0.</w:t>
            </w:r>
            <w:r>
              <w:rPr>
                <w:rFonts w:ascii="Times New Roman" w:hAnsi="Times New Roman" w:eastAsia="宋体"/>
                <w:color w:val="auto"/>
                <w:kern w:val="0"/>
                <w:sz w:val="21"/>
                <w:szCs w:val="24"/>
                <w:lang w:bidi="ar"/>
              </w:rPr>
              <w:t>937</w:t>
            </w:r>
          </w:p>
        </w:tc>
        <w:tc>
          <w:tcPr>
            <w:tcW w:w="415" w:type="pct"/>
            <w:tcBorders>
              <w:top w:val="nil"/>
              <w:left w:val="nil"/>
              <w:bottom w:val="nil"/>
              <w:right w:val="nil"/>
            </w:tcBorders>
            <w:shd w:val="clear" w:color="auto" w:fill="auto"/>
            <w:noWrap/>
            <w:vAlign w:val="center"/>
          </w:tcPr>
          <w:p w14:paraId="4B2A5EA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021</w:t>
            </w:r>
          </w:p>
        </w:tc>
        <w:tc>
          <w:tcPr>
            <w:tcW w:w="490" w:type="pct"/>
            <w:tcBorders>
              <w:top w:val="nil"/>
              <w:left w:val="nil"/>
              <w:bottom w:val="nil"/>
              <w:right w:val="nil"/>
            </w:tcBorders>
            <w:shd w:val="clear" w:color="auto" w:fill="auto"/>
            <w:noWrap/>
            <w:vAlign w:val="center"/>
          </w:tcPr>
          <w:p w14:paraId="337E342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155</w:t>
            </w:r>
          </w:p>
        </w:tc>
        <w:tc>
          <w:tcPr>
            <w:tcW w:w="490" w:type="pct"/>
            <w:tcBorders>
              <w:top w:val="nil"/>
              <w:left w:val="nil"/>
              <w:bottom w:val="nil"/>
              <w:right w:val="nil"/>
            </w:tcBorders>
            <w:shd w:val="clear" w:color="auto" w:fill="auto"/>
            <w:noWrap/>
            <w:vAlign w:val="center"/>
          </w:tcPr>
          <w:p w14:paraId="0BA30C2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718</w:t>
            </w:r>
          </w:p>
        </w:tc>
      </w:tr>
      <w:tr w14:paraId="283FFC5C">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1A69B7A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64B6448C">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3F709D61">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1A93323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656</w:t>
            </w:r>
          </w:p>
        </w:tc>
        <w:tc>
          <w:tcPr>
            <w:tcW w:w="415" w:type="pct"/>
            <w:tcBorders>
              <w:top w:val="nil"/>
              <w:left w:val="nil"/>
              <w:bottom w:val="nil"/>
              <w:right w:val="nil"/>
            </w:tcBorders>
            <w:shd w:val="clear" w:color="auto" w:fill="auto"/>
            <w:noWrap/>
            <w:vAlign w:val="center"/>
          </w:tcPr>
          <w:p w14:paraId="1BFB371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142</w:t>
            </w:r>
          </w:p>
        </w:tc>
        <w:tc>
          <w:tcPr>
            <w:tcW w:w="490" w:type="pct"/>
            <w:tcBorders>
              <w:top w:val="nil"/>
              <w:left w:val="nil"/>
              <w:bottom w:val="nil"/>
              <w:right w:val="nil"/>
            </w:tcBorders>
            <w:shd w:val="clear" w:color="auto" w:fill="auto"/>
            <w:noWrap/>
            <w:vAlign w:val="center"/>
          </w:tcPr>
          <w:p w14:paraId="0F7C1FA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236</w:t>
            </w:r>
          </w:p>
        </w:tc>
        <w:tc>
          <w:tcPr>
            <w:tcW w:w="490" w:type="pct"/>
            <w:tcBorders>
              <w:top w:val="nil"/>
              <w:left w:val="nil"/>
              <w:bottom w:val="nil"/>
              <w:right w:val="nil"/>
            </w:tcBorders>
            <w:shd w:val="clear" w:color="auto" w:fill="auto"/>
            <w:noWrap/>
            <w:vAlign w:val="center"/>
          </w:tcPr>
          <w:p w14:paraId="27D818E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548</w:t>
            </w:r>
          </w:p>
        </w:tc>
      </w:tr>
      <w:tr w14:paraId="4D2FD565">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39C10FDE">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3E8A853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室内步行</w:t>
            </w:r>
            <w:r>
              <w:rPr>
                <w:rFonts w:hint="eastAsia" w:ascii="Times New Roman" w:hAnsi="Times New Roman" w:eastAsia="宋体"/>
                <w:color w:val="auto"/>
                <w:kern w:val="0"/>
                <w:sz w:val="21"/>
                <w:szCs w:val="24"/>
                <w:lang w:bidi="ar"/>
              </w:rPr>
              <w:t>组</w:t>
            </w:r>
          </w:p>
          <w:p w14:paraId="6324CF4A">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6313AF4">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5714683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356</w:t>
            </w:r>
          </w:p>
        </w:tc>
        <w:tc>
          <w:tcPr>
            <w:tcW w:w="415" w:type="pct"/>
            <w:tcBorders>
              <w:top w:val="nil"/>
              <w:left w:val="nil"/>
              <w:bottom w:val="nil"/>
              <w:right w:val="nil"/>
            </w:tcBorders>
            <w:shd w:val="clear" w:color="auto" w:fill="auto"/>
            <w:noWrap/>
            <w:vAlign w:val="center"/>
          </w:tcPr>
          <w:p w14:paraId="44EF952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22</w:t>
            </w:r>
            <w:r>
              <w:rPr>
                <w:rFonts w:hint="eastAsia" w:ascii="Times New Roman" w:hAnsi="Times New Roman" w:eastAsia="宋体"/>
                <w:color w:val="auto"/>
                <w:kern w:val="0"/>
                <w:sz w:val="21"/>
                <w:szCs w:val="24"/>
                <w:lang w:val="en-US" w:eastAsia="zh-CN" w:bidi="ar"/>
              </w:rPr>
              <w:t>0</w:t>
            </w:r>
          </w:p>
        </w:tc>
        <w:tc>
          <w:tcPr>
            <w:tcW w:w="490" w:type="pct"/>
            <w:tcBorders>
              <w:top w:val="nil"/>
              <w:left w:val="nil"/>
              <w:bottom w:val="nil"/>
              <w:right w:val="nil"/>
            </w:tcBorders>
            <w:shd w:val="clear" w:color="auto" w:fill="auto"/>
            <w:noWrap/>
            <w:vAlign w:val="center"/>
          </w:tcPr>
          <w:p w14:paraId="363993F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247</w:t>
            </w:r>
          </w:p>
        </w:tc>
        <w:tc>
          <w:tcPr>
            <w:tcW w:w="490" w:type="pct"/>
            <w:tcBorders>
              <w:top w:val="nil"/>
              <w:left w:val="nil"/>
              <w:bottom w:val="nil"/>
              <w:right w:val="nil"/>
            </w:tcBorders>
            <w:shd w:val="clear" w:color="auto" w:fill="auto"/>
            <w:noWrap/>
            <w:vAlign w:val="center"/>
          </w:tcPr>
          <w:p w14:paraId="59EF522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958</w:t>
            </w:r>
          </w:p>
        </w:tc>
      </w:tr>
      <w:tr w14:paraId="3B3737CD">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3F1A701D">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744BDC01">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D43F98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614FE61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173</w:t>
            </w:r>
          </w:p>
        </w:tc>
        <w:tc>
          <w:tcPr>
            <w:tcW w:w="415" w:type="pct"/>
            <w:tcBorders>
              <w:top w:val="nil"/>
              <w:left w:val="nil"/>
              <w:bottom w:val="nil"/>
              <w:right w:val="nil"/>
            </w:tcBorders>
            <w:shd w:val="clear" w:color="auto" w:fill="auto"/>
            <w:noWrap/>
            <w:vAlign w:val="center"/>
          </w:tcPr>
          <w:p w14:paraId="513BA699">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032</w:t>
            </w:r>
          </w:p>
        </w:tc>
        <w:tc>
          <w:tcPr>
            <w:tcW w:w="490" w:type="pct"/>
            <w:tcBorders>
              <w:top w:val="nil"/>
              <w:left w:val="nil"/>
              <w:bottom w:val="nil"/>
              <w:right w:val="nil"/>
            </w:tcBorders>
            <w:shd w:val="clear" w:color="auto" w:fill="auto"/>
            <w:noWrap/>
            <w:vAlign w:val="center"/>
          </w:tcPr>
          <w:p w14:paraId="7873210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122</w:t>
            </w:r>
          </w:p>
        </w:tc>
        <w:tc>
          <w:tcPr>
            <w:tcW w:w="490" w:type="pct"/>
            <w:tcBorders>
              <w:top w:val="nil"/>
              <w:left w:val="nil"/>
              <w:bottom w:val="nil"/>
              <w:right w:val="nil"/>
            </w:tcBorders>
            <w:shd w:val="clear" w:color="auto" w:fill="auto"/>
            <w:noWrap/>
            <w:vAlign w:val="center"/>
          </w:tcPr>
          <w:p w14:paraId="73C72DD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224</w:t>
            </w:r>
          </w:p>
        </w:tc>
      </w:tr>
      <w:tr w14:paraId="284756B5">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0647615">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3912EFD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26875695">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028210A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817</w:t>
            </w:r>
          </w:p>
        </w:tc>
        <w:tc>
          <w:tcPr>
            <w:tcW w:w="415" w:type="pct"/>
            <w:tcBorders>
              <w:top w:val="nil"/>
              <w:left w:val="nil"/>
              <w:bottom w:val="nil"/>
              <w:right w:val="nil"/>
            </w:tcBorders>
            <w:shd w:val="clear" w:color="auto" w:fill="auto"/>
            <w:noWrap/>
            <w:vAlign w:val="center"/>
          </w:tcPr>
          <w:p w14:paraId="52C48312">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177</w:t>
            </w:r>
          </w:p>
        </w:tc>
        <w:tc>
          <w:tcPr>
            <w:tcW w:w="490" w:type="pct"/>
            <w:tcBorders>
              <w:top w:val="nil"/>
              <w:left w:val="nil"/>
              <w:bottom w:val="nil"/>
              <w:right w:val="nil"/>
            </w:tcBorders>
            <w:shd w:val="clear" w:color="auto" w:fill="auto"/>
            <w:noWrap/>
            <w:vAlign w:val="center"/>
          </w:tcPr>
          <w:p w14:paraId="57E5252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428</w:t>
            </w:r>
          </w:p>
        </w:tc>
        <w:tc>
          <w:tcPr>
            <w:tcW w:w="490" w:type="pct"/>
            <w:tcBorders>
              <w:top w:val="nil"/>
              <w:left w:val="nil"/>
              <w:bottom w:val="nil"/>
              <w:right w:val="nil"/>
            </w:tcBorders>
            <w:shd w:val="clear" w:color="auto" w:fill="auto"/>
            <w:noWrap/>
            <w:vAlign w:val="center"/>
          </w:tcPr>
          <w:p w14:paraId="0CD025D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2.</w:t>
            </w:r>
            <w:r>
              <w:rPr>
                <w:rFonts w:ascii="Times New Roman" w:hAnsi="Times New Roman" w:eastAsia="宋体"/>
                <w:color w:val="auto"/>
                <w:kern w:val="0"/>
                <w:sz w:val="21"/>
                <w:szCs w:val="24"/>
                <w:lang w:bidi="ar"/>
              </w:rPr>
              <w:t>063</w:t>
            </w:r>
          </w:p>
        </w:tc>
      </w:tr>
      <w:tr w14:paraId="5D1AC012">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53D635CB">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restart"/>
            <w:tcBorders>
              <w:top w:val="nil"/>
              <w:left w:val="nil"/>
              <w:bottom w:val="nil"/>
              <w:right w:val="nil"/>
            </w:tcBorders>
            <w:shd w:val="clear" w:color="auto" w:fill="auto"/>
            <w:noWrap/>
            <w:vAlign w:val="center"/>
          </w:tcPr>
          <w:p w14:paraId="5BDA96F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ascii="Times New Roman" w:hAnsi="Times New Roman" w:eastAsia="宋体"/>
                <w:color w:val="auto"/>
                <w:kern w:val="0"/>
                <w:sz w:val="21"/>
                <w:szCs w:val="24"/>
                <w:lang w:bidi="ar"/>
              </w:rPr>
              <w:t>室外步行</w:t>
            </w:r>
            <w:r>
              <w:rPr>
                <w:rFonts w:hint="eastAsia" w:ascii="Times New Roman" w:hAnsi="Times New Roman" w:eastAsia="宋体"/>
                <w:color w:val="auto"/>
                <w:kern w:val="0"/>
                <w:sz w:val="21"/>
                <w:szCs w:val="24"/>
                <w:lang w:bidi="ar"/>
              </w:rPr>
              <w:t>组</w:t>
            </w:r>
          </w:p>
        </w:tc>
        <w:tc>
          <w:tcPr>
            <w:tcW w:w="1230" w:type="pct"/>
            <w:tcBorders>
              <w:top w:val="nil"/>
              <w:left w:val="nil"/>
              <w:bottom w:val="nil"/>
              <w:right w:val="nil"/>
            </w:tcBorders>
            <w:shd w:val="clear" w:color="auto" w:fill="auto"/>
            <w:noWrap/>
            <w:vAlign w:val="center"/>
          </w:tcPr>
          <w:p w14:paraId="6BDF7DD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p>
        </w:tc>
        <w:tc>
          <w:tcPr>
            <w:tcW w:w="1052" w:type="pct"/>
            <w:tcBorders>
              <w:top w:val="nil"/>
              <w:left w:val="nil"/>
              <w:bottom w:val="nil"/>
              <w:right w:val="nil"/>
            </w:tcBorders>
            <w:shd w:val="clear" w:color="auto" w:fill="auto"/>
            <w:noWrap/>
            <w:vAlign w:val="center"/>
          </w:tcPr>
          <w:p w14:paraId="2281A8F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206</w:t>
            </w:r>
          </w:p>
        </w:tc>
        <w:tc>
          <w:tcPr>
            <w:tcW w:w="415" w:type="pct"/>
            <w:tcBorders>
              <w:top w:val="nil"/>
              <w:left w:val="nil"/>
              <w:bottom w:val="nil"/>
              <w:right w:val="nil"/>
            </w:tcBorders>
            <w:shd w:val="clear" w:color="auto" w:fill="auto"/>
            <w:noWrap/>
            <w:vAlign w:val="center"/>
          </w:tcPr>
          <w:p w14:paraId="633AC70B">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699</w:t>
            </w:r>
          </w:p>
        </w:tc>
        <w:tc>
          <w:tcPr>
            <w:tcW w:w="490" w:type="pct"/>
            <w:tcBorders>
              <w:top w:val="nil"/>
              <w:left w:val="nil"/>
              <w:bottom w:val="nil"/>
              <w:right w:val="nil"/>
            </w:tcBorders>
            <w:shd w:val="clear" w:color="auto" w:fill="auto"/>
            <w:noWrap/>
            <w:vAlign w:val="center"/>
          </w:tcPr>
          <w:p w14:paraId="60F2D240">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926</w:t>
            </w:r>
          </w:p>
        </w:tc>
        <w:tc>
          <w:tcPr>
            <w:tcW w:w="490" w:type="pct"/>
            <w:tcBorders>
              <w:top w:val="nil"/>
              <w:left w:val="nil"/>
              <w:bottom w:val="nil"/>
              <w:right w:val="nil"/>
            </w:tcBorders>
            <w:shd w:val="clear" w:color="auto" w:fill="auto"/>
            <w:noWrap/>
            <w:vAlign w:val="center"/>
          </w:tcPr>
          <w:p w14:paraId="5E78D89C">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339</w:t>
            </w:r>
          </w:p>
        </w:tc>
      </w:tr>
      <w:tr w14:paraId="6DFAAC78">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664765DA">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5C1B4AF0">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1E16C4D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1</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7282BA5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default" w:ascii="Times New Roman" w:hAnsi="Times New Roman" w:eastAsia="宋体"/>
                <w:color w:val="auto"/>
                <w:sz w:val="21"/>
                <w:szCs w:val="24"/>
                <w:lang w:val="en-US" w:eastAsia="zh-CN"/>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7</w:t>
            </w:r>
            <w:r>
              <w:rPr>
                <w:rFonts w:hint="eastAsia" w:ascii="Times New Roman" w:hAnsi="Times New Roman" w:eastAsia="宋体"/>
                <w:color w:val="auto"/>
                <w:kern w:val="0"/>
                <w:sz w:val="21"/>
                <w:szCs w:val="24"/>
                <w:lang w:val="en-US" w:eastAsia="zh-CN" w:bidi="ar"/>
              </w:rPr>
              <w:t>00</w:t>
            </w:r>
          </w:p>
        </w:tc>
        <w:tc>
          <w:tcPr>
            <w:tcW w:w="415" w:type="pct"/>
            <w:tcBorders>
              <w:top w:val="nil"/>
              <w:left w:val="nil"/>
              <w:bottom w:val="nil"/>
              <w:right w:val="nil"/>
            </w:tcBorders>
            <w:shd w:val="clear" w:color="auto" w:fill="auto"/>
            <w:noWrap/>
            <w:vAlign w:val="center"/>
          </w:tcPr>
          <w:p w14:paraId="1C33C2FF">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248</w:t>
            </w:r>
          </w:p>
        </w:tc>
        <w:tc>
          <w:tcPr>
            <w:tcW w:w="490" w:type="pct"/>
            <w:tcBorders>
              <w:top w:val="nil"/>
              <w:left w:val="nil"/>
              <w:bottom w:val="nil"/>
              <w:right w:val="nil"/>
            </w:tcBorders>
            <w:shd w:val="clear" w:color="auto" w:fill="auto"/>
            <w:noWrap/>
            <w:vAlign w:val="center"/>
          </w:tcPr>
          <w:p w14:paraId="08CC826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556</w:t>
            </w:r>
          </w:p>
        </w:tc>
        <w:tc>
          <w:tcPr>
            <w:tcW w:w="490" w:type="pct"/>
            <w:tcBorders>
              <w:top w:val="nil"/>
              <w:left w:val="nil"/>
              <w:bottom w:val="nil"/>
              <w:right w:val="nil"/>
            </w:tcBorders>
            <w:shd w:val="clear" w:color="auto" w:fill="auto"/>
            <w:noWrap/>
            <w:vAlign w:val="center"/>
          </w:tcPr>
          <w:p w14:paraId="28B2C9F6">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956</w:t>
            </w:r>
          </w:p>
        </w:tc>
      </w:tr>
      <w:tr w14:paraId="6204F6B7">
        <w:tblPrEx>
          <w:tblCellMar>
            <w:top w:w="0" w:type="dxa"/>
            <w:left w:w="108" w:type="dxa"/>
            <w:bottom w:w="0" w:type="dxa"/>
            <w:right w:w="108" w:type="dxa"/>
          </w:tblCellMar>
        </w:tblPrEx>
        <w:trPr>
          <w:trHeight w:val="270" w:hRule="atLeast"/>
          <w:jc w:val="center"/>
        </w:trPr>
        <w:tc>
          <w:tcPr>
            <w:tcW w:w="556" w:type="pct"/>
            <w:vMerge w:val="continue"/>
            <w:tcBorders>
              <w:top w:val="nil"/>
              <w:left w:val="nil"/>
              <w:bottom w:val="nil"/>
              <w:right w:val="nil"/>
            </w:tcBorders>
            <w:shd w:val="clear" w:color="auto" w:fill="auto"/>
            <w:noWrap/>
            <w:vAlign w:val="center"/>
          </w:tcPr>
          <w:p w14:paraId="44B76A16">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763" w:type="pct"/>
            <w:vMerge w:val="continue"/>
            <w:tcBorders>
              <w:top w:val="nil"/>
              <w:left w:val="nil"/>
              <w:bottom w:val="nil"/>
              <w:right w:val="nil"/>
            </w:tcBorders>
            <w:shd w:val="clear" w:color="auto" w:fill="auto"/>
            <w:noWrap/>
            <w:vAlign w:val="center"/>
          </w:tcPr>
          <w:p w14:paraId="4B6D967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p>
        </w:tc>
        <w:tc>
          <w:tcPr>
            <w:tcW w:w="1230" w:type="pct"/>
            <w:tcBorders>
              <w:top w:val="nil"/>
              <w:left w:val="nil"/>
              <w:bottom w:val="nil"/>
              <w:right w:val="nil"/>
            </w:tcBorders>
            <w:shd w:val="clear" w:color="auto" w:fill="auto"/>
            <w:noWrap/>
            <w:vAlign w:val="center"/>
          </w:tcPr>
          <w:p w14:paraId="4631860E">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hint="eastAsia" w:ascii="Times New Roman" w:hAnsi="Times New Roman" w:eastAsia="宋体"/>
                <w:color w:val="auto"/>
                <w:sz w:val="21"/>
                <w:szCs w:val="24"/>
                <w:lang w:val="en-US" w:eastAsia="zh-CN"/>
              </w:rPr>
            </w:pP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2</w:t>
            </w:r>
            <w:r>
              <w:rPr>
                <w:rFonts w:hint="eastAsia" w:ascii="Times New Roman" w:hAnsi="Times New Roman" w:eastAsia="宋体"/>
                <w:color w:val="auto"/>
                <w:kern w:val="0"/>
                <w:sz w:val="21"/>
                <w:szCs w:val="24"/>
                <w:vertAlign w:val="subscript"/>
                <w:lang w:val="en-US" w:eastAsia="zh-CN" w:bidi="ar"/>
              </w:rPr>
              <w:t xml:space="preserve"> </w:t>
            </w:r>
            <w:r>
              <w:rPr>
                <w:rFonts w:hint="eastAsia" w:ascii="Times New Roman" w:hAnsi="Times New Roman" w:eastAsia="宋体"/>
                <w:i/>
                <w:color w:val="auto"/>
                <w:kern w:val="0"/>
                <w:sz w:val="21"/>
                <w:szCs w:val="24"/>
                <w:vertAlign w:val="baseline"/>
                <w:lang w:val="en-US" w:eastAsia="zh-CN" w:bidi="ar"/>
              </w:rPr>
              <w:t>vs</w:t>
            </w:r>
            <w:r>
              <w:rPr>
                <w:rFonts w:hint="eastAsia" w:ascii="Times New Roman" w:hAnsi="Times New Roman" w:eastAsia="宋体"/>
                <w:color w:val="auto"/>
                <w:kern w:val="0"/>
                <w:sz w:val="21"/>
                <w:szCs w:val="24"/>
                <w:vertAlign w:val="baseline"/>
                <w:lang w:val="en-US" w:eastAsia="zh-CN" w:bidi="ar"/>
              </w:rPr>
              <w:t xml:space="preserve"> </w:t>
            </w:r>
            <w:r>
              <w:rPr>
                <w:rFonts w:ascii="Times New Roman" w:hAnsi="Times New Roman" w:eastAsia="宋体"/>
                <w:color w:val="auto"/>
                <w:kern w:val="0"/>
                <w:sz w:val="21"/>
                <w:szCs w:val="24"/>
                <w:lang w:bidi="ar"/>
              </w:rPr>
              <w:t>PRA</w:t>
            </w:r>
            <w:r>
              <w:rPr>
                <w:rFonts w:ascii="Times New Roman" w:hAnsi="Times New Roman" w:eastAsia="宋体"/>
                <w:color w:val="auto"/>
                <w:kern w:val="0"/>
                <w:sz w:val="21"/>
                <w:szCs w:val="24"/>
                <w:vertAlign w:val="subscript"/>
                <w:lang w:bidi="ar"/>
              </w:rPr>
              <w:t>max</w:t>
            </w:r>
            <w:r>
              <w:rPr>
                <w:rFonts w:hint="eastAsia" w:ascii="Times New Roman" w:hAnsi="Times New Roman" w:eastAsia="宋体"/>
                <w:color w:val="auto"/>
                <w:kern w:val="0"/>
                <w:sz w:val="21"/>
                <w:szCs w:val="24"/>
                <w:vertAlign w:val="subscript"/>
                <w:lang w:bidi="ar"/>
              </w:rPr>
              <w:t>3</w:t>
            </w:r>
          </w:p>
        </w:tc>
        <w:tc>
          <w:tcPr>
            <w:tcW w:w="1052" w:type="pct"/>
            <w:tcBorders>
              <w:top w:val="nil"/>
              <w:left w:val="nil"/>
              <w:bottom w:val="nil"/>
              <w:right w:val="nil"/>
            </w:tcBorders>
            <w:shd w:val="clear" w:color="auto" w:fill="auto"/>
            <w:noWrap/>
            <w:vAlign w:val="center"/>
          </w:tcPr>
          <w:p w14:paraId="4DD63BB8">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494</w:t>
            </w:r>
          </w:p>
        </w:tc>
        <w:tc>
          <w:tcPr>
            <w:tcW w:w="415" w:type="pct"/>
            <w:tcBorders>
              <w:top w:val="nil"/>
              <w:left w:val="nil"/>
              <w:bottom w:val="nil"/>
              <w:right w:val="nil"/>
            </w:tcBorders>
            <w:shd w:val="clear" w:color="auto" w:fill="auto"/>
            <w:noWrap/>
            <w:vAlign w:val="center"/>
          </w:tcPr>
          <w:p w14:paraId="2EBDD8FD">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457</w:t>
            </w:r>
          </w:p>
        </w:tc>
        <w:tc>
          <w:tcPr>
            <w:tcW w:w="490" w:type="pct"/>
            <w:tcBorders>
              <w:top w:val="nil"/>
              <w:left w:val="nil"/>
              <w:bottom w:val="nil"/>
              <w:right w:val="nil"/>
            </w:tcBorders>
            <w:shd w:val="clear" w:color="auto" w:fill="auto"/>
            <w:noWrap/>
            <w:vAlign w:val="center"/>
          </w:tcPr>
          <w:p w14:paraId="443A1EE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−0.</w:t>
            </w:r>
            <w:r>
              <w:rPr>
                <w:rFonts w:ascii="Times New Roman" w:hAnsi="Times New Roman" w:eastAsia="宋体"/>
                <w:color w:val="auto"/>
                <w:kern w:val="0"/>
                <w:sz w:val="21"/>
                <w:szCs w:val="24"/>
                <w:lang w:bidi="ar"/>
              </w:rPr>
              <w:t>906</w:t>
            </w:r>
          </w:p>
        </w:tc>
        <w:tc>
          <w:tcPr>
            <w:tcW w:w="490" w:type="pct"/>
            <w:tcBorders>
              <w:top w:val="nil"/>
              <w:left w:val="nil"/>
              <w:bottom w:val="nil"/>
              <w:right w:val="nil"/>
            </w:tcBorders>
            <w:shd w:val="clear" w:color="auto" w:fill="auto"/>
            <w:noWrap/>
            <w:vAlign w:val="center"/>
          </w:tcPr>
          <w:p w14:paraId="04C05837">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center"/>
              <w:rPr>
                <w:rFonts w:ascii="Times New Roman" w:hAnsi="Times New Roman" w:eastAsia="宋体"/>
                <w:color w:val="auto"/>
                <w:sz w:val="21"/>
                <w:szCs w:val="24"/>
              </w:rPr>
            </w:pPr>
            <w:r>
              <w:rPr>
                <w:rFonts w:hint="eastAsia" w:ascii="Times New Roman" w:hAnsi="Times New Roman" w:eastAsia="宋体"/>
                <w:color w:val="auto"/>
                <w:kern w:val="0"/>
                <w:sz w:val="21"/>
                <w:szCs w:val="24"/>
                <w:lang w:eastAsia="zh-CN" w:bidi="ar"/>
              </w:rPr>
              <w:t>1.</w:t>
            </w:r>
            <w:r>
              <w:rPr>
                <w:rFonts w:ascii="Times New Roman" w:hAnsi="Times New Roman" w:eastAsia="宋体"/>
                <w:color w:val="auto"/>
                <w:kern w:val="0"/>
                <w:sz w:val="21"/>
                <w:szCs w:val="24"/>
                <w:lang w:bidi="ar"/>
              </w:rPr>
              <w:t>894</w:t>
            </w:r>
          </w:p>
        </w:tc>
      </w:tr>
    </w:tbl>
    <w:p w14:paraId="7379C848">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kern w:val="0"/>
          <w:sz w:val="21"/>
          <w:szCs w:val="24"/>
        </w:rPr>
      </w:pPr>
    </w:p>
    <w:p w14:paraId="22057163">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b/>
          <w:bCs/>
          <w:color w:val="auto"/>
          <w:kern w:val="0"/>
          <w:sz w:val="21"/>
          <w:szCs w:val="24"/>
        </w:rPr>
      </w:pPr>
      <w:r>
        <w:rPr>
          <w:rFonts w:ascii="Times New Roman" w:hAnsi="Times New Roman" w:eastAsia="宋体"/>
          <w:b/>
          <w:bCs/>
          <w:color w:val="auto"/>
          <w:kern w:val="0"/>
          <w:sz w:val="21"/>
          <w:szCs w:val="24"/>
        </w:rPr>
        <w:t>讨</w:t>
      </w:r>
      <w:r>
        <w:rPr>
          <w:rFonts w:hint="eastAsia" w:ascii="Times New Roman" w:hAnsi="Times New Roman" w:eastAsia="宋体"/>
          <w:b/>
          <w:bCs/>
          <w:color w:val="auto"/>
          <w:kern w:val="0"/>
          <w:sz w:val="21"/>
          <w:szCs w:val="24"/>
          <w:lang w:val="en-US" w:eastAsia="zh-CN"/>
        </w:rPr>
        <w:t xml:space="preserve">    </w:t>
      </w:r>
      <w:r>
        <w:rPr>
          <w:rFonts w:ascii="Times New Roman" w:hAnsi="Times New Roman" w:eastAsia="宋体"/>
          <w:b/>
          <w:bCs/>
          <w:color w:val="auto"/>
          <w:kern w:val="0"/>
          <w:sz w:val="21"/>
          <w:szCs w:val="24"/>
        </w:rPr>
        <w:t>论</w:t>
      </w:r>
    </w:p>
    <w:p w14:paraId="45DBA6ED">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步态不对称是脑卒中患者的常见特征之一</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NE.Ref.{77D8C286-3902-4777-B93E-6832E49FFB04}</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[5-7</w:t>
      </w:r>
      <w:r>
        <w:rPr>
          <w:rFonts w:hint="eastAsia" w:ascii="Times New Roman" w:hAnsi="Times New Roman" w:eastAsia="宋体"/>
          <w:color w:val="auto"/>
          <w:sz w:val="21"/>
          <w:szCs w:val="24"/>
          <w:vertAlign w:val="superscript"/>
          <w:lang w:eastAsia="zh-CN"/>
        </w:rPr>
        <w:t>，</w:t>
      </w:r>
      <w:r>
        <w:rPr>
          <w:rFonts w:ascii="Times New Roman" w:hAnsi="Times New Roman" w:eastAsia="宋体"/>
          <w:color w:val="auto"/>
          <w:sz w:val="21"/>
          <w:szCs w:val="24"/>
          <w:vertAlign w:val="superscript"/>
        </w:rPr>
        <w:t>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，导致步态不对称最重要因素是偏瘫侧肢体无力。研究发现，</w:t>
      </w:r>
      <w:r>
        <w:rPr>
          <w:rFonts w:hint="eastAsia" w:ascii="Times New Roman" w:hAnsi="Times New Roman" w:eastAsia="宋体"/>
          <w:color w:val="auto"/>
          <w:kern w:val="0"/>
          <w:sz w:val="21"/>
          <w:szCs w:val="24"/>
          <w:lang w:eastAsia="zh-CN"/>
        </w:rPr>
        <w:t>在</w:t>
      </w:r>
      <w:r>
        <w:rPr>
          <w:rFonts w:ascii="Times New Roman" w:hAnsi="Times New Roman" w:eastAsia="宋体"/>
          <w:color w:val="auto"/>
          <w:kern w:val="0"/>
          <w:sz w:val="21"/>
          <w:szCs w:val="24"/>
        </w:rPr>
        <w:t>脑卒中患者中，与非偏瘫侧肢体相比，偏瘫侧肢体运动范围较小</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NE.Ref.{2BA743F6-5DE9-43A7-AE27-42AD3E999AE1}</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[25]</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。本研究</w:t>
      </w:r>
      <w:r>
        <w:rPr>
          <w:rFonts w:hint="eastAsia"/>
          <w:color w:val="auto"/>
          <w:kern w:val="0"/>
          <w:sz w:val="21"/>
          <w:szCs w:val="24"/>
          <w:lang w:eastAsia="zh-CN"/>
        </w:rPr>
        <w:t>发现</w:t>
      </w:r>
      <w:r>
        <w:rPr>
          <w:rFonts w:ascii="Times New Roman" w:hAnsi="Times New Roman" w:eastAsia="宋体"/>
          <w:color w:val="auto"/>
          <w:kern w:val="0"/>
          <w:sz w:val="21"/>
          <w:szCs w:val="24"/>
        </w:rPr>
        <w:t>，脑卒中患者整个步行周期偏瘫侧骨盆前倾的幅度较健侧减小，步行初期偏瘫侧骨盆的前后倾斜ROM也较健侧减小。</w:t>
      </w:r>
      <w:r>
        <w:rPr>
          <w:rFonts w:hint="eastAsia"/>
          <w:color w:val="auto"/>
          <w:kern w:val="0"/>
          <w:sz w:val="21"/>
          <w:szCs w:val="24"/>
          <w:lang w:eastAsia="zh-CN"/>
        </w:rPr>
        <w:t>但</w:t>
      </w:r>
      <w:r>
        <w:rPr>
          <w:rFonts w:ascii="Times New Roman" w:hAnsi="Times New Roman" w:eastAsia="宋体"/>
          <w:color w:val="auto"/>
          <w:kern w:val="0"/>
          <w:sz w:val="21"/>
          <w:szCs w:val="24"/>
        </w:rPr>
        <w:t>也有研究认为，与健康参与者相比，脑卒中患者站立位时骨盆倾斜角度增加</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NE.Ref.{55D9538D-AB49-4F6F-B891-F76265A1165C}</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[19</w:t>
      </w:r>
      <w:r>
        <w:rPr>
          <w:rFonts w:hint="eastAsia" w:ascii="Times New Roman" w:hAnsi="Times New Roman" w:eastAsia="宋体"/>
          <w:color w:val="auto"/>
          <w:sz w:val="21"/>
          <w:szCs w:val="24"/>
          <w:vertAlign w:val="superscript"/>
          <w:lang w:eastAsia="zh-CN"/>
        </w:rPr>
        <w:t>，</w:t>
      </w:r>
      <w:r>
        <w:rPr>
          <w:rFonts w:ascii="Times New Roman" w:hAnsi="Times New Roman" w:eastAsia="宋体"/>
          <w:color w:val="auto"/>
          <w:sz w:val="21"/>
          <w:szCs w:val="24"/>
          <w:vertAlign w:val="superscript"/>
        </w:rPr>
        <w:t>25]</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，并且会将骨盆向前倾斜到最受影响的那一侧</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NE.Ref.{32193940-8D1C-4975-9BD4-FC4128D3B3E3}</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[14]</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。在步行周期中，也发现骨盆会出现过度前倾</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NE.Ref.{BB4FF907-E5BF-4769-9180-72CC85B588B9}</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。不同于既往研究的</w:t>
      </w:r>
      <w:r>
        <w:rPr>
          <w:rFonts w:hint="eastAsia" w:ascii="Times New Roman" w:hAnsi="Times New Roman" w:eastAsia="宋体"/>
          <w:color w:val="auto"/>
          <w:kern w:val="0"/>
          <w:sz w:val="21"/>
          <w:szCs w:val="24"/>
        </w:rPr>
        <w:t>与健康参与者相比的</w:t>
      </w:r>
      <w:r>
        <w:rPr>
          <w:rFonts w:ascii="Times New Roman" w:hAnsi="Times New Roman" w:eastAsia="宋体"/>
          <w:color w:val="auto"/>
          <w:kern w:val="0"/>
          <w:sz w:val="21"/>
          <w:szCs w:val="24"/>
        </w:rPr>
        <w:t>骨盆倾斜问题，本研究观察到</w:t>
      </w:r>
      <w:r>
        <w:rPr>
          <w:rFonts w:hint="eastAsia" w:ascii="Times New Roman" w:hAnsi="Times New Roman" w:eastAsia="宋体"/>
          <w:color w:val="auto"/>
          <w:kern w:val="0"/>
          <w:sz w:val="21"/>
          <w:szCs w:val="24"/>
        </w:rPr>
        <w:t>卒中患者偏瘫后自身骨盆</w:t>
      </w:r>
      <w:r>
        <w:rPr>
          <w:rFonts w:ascii="Times New Roman" w:hAnsi="Times New Roman" w:eastAsia="宋体"/>
          <w:color w:val="auto"/>
          <w:kern w:val="0"/>
          <w:sz w:val="21"/>
          <w:szCs w:val="24"/>
        </w:rPr>
        <w:t>步行周期中前倾的不对称问题</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尤其是步行末期，偏瘫侧骨盆前倾</w:t>
      </w:r>
      <w:r>
        <w:rPr>
          <w:rFonts w:hint="eastAsia" w:ascii="Times New Roman" w:hAnsi="Times New Roman" w:eastAsia="宋体"/>
          <w:color w:val="auto"/>
          <w:kern w:val="0"/>
          <w:sz w:val="21"/>
          <w:szCs w:val="24"/>
        </w:rPr>
        <w:t>幅度</w:t>
      </w:r>
      <w:r>
        <w:rPr>
          <w:rFonts w:ascii="Times New Roman" w:hAnsi="Times New Roman" w:eastAsia="宋体"/>
          <w:color w:val="auto"/>
          <w:kern w:val="0"/>
          <w:sz w:val="21"/>
          <w:szCs w:val="24"/>
        </w:rPr>
        <w:t>增大，而非偏瘫侧骨盆前倾</w:t>
      </w:r>
      <w:r>
        <w:rPr>
          <w:rFonts w:hint="eastAsia" w:ascii="Times New Roman" w:hAnsi="Times New Roman" w:eastAsia="宋体"/>
          <w:color w:val="auto"/>
          <w:kern w:val="0"/>
          <w:sz w:val="21"/>
          <w:szCs w:val="24"/>
        </w:rPr>
        <w:t>幅度</w:t>
      </w:r>
      <w:r>
        <w:rPr>
          <w:rFonts w:hint="eastAsia" w:ascii="Times New Roman" w:hAnsi="Times New Roman" w:eastAsia="宋体"/>
          <w:color w:val="auto"/>
          <w:kern w:val="0"/>
          <w:sz w:val="21"/>
          <w:szCs w:val="24"/>
          <w:lang w:eastAsia="zh-CN"/>
        </w:rPr>
        <w:t>减小</w:t>
      </w:r>
      <w:r>
        <w:rPr>
          <w:rFonts w:ascii="Times New Roman" w:hAnsi="Times New Roman" w:eastAsia="宋体"/>
          <w:color w:val="auto"/>
          <w:kern w:val="0"/>
          <w:sz w:val="21"/>
          <w:szCs w:val="24"/>
        </w:rPr>
        <w:t>。骨盆倾斜的增加与下肢运动的恢复呈负相关</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NE.Ref.{84BD5C86-EEB2-4C1E-8A2B-005A0A5761ED}</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[20]</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，骨盆的不对称</w:t>
      </w:r>
      <w:r>
        <w:rPr>
          <w:rFonts w:hint="eastAsia" w:ascii="Times New Roman" w:hAnsi="Times New Roman" w:eastAsia="宋体"/>
          <w:color w:val="auto"/>
          <w:kern w:val="0"/>
          <w:sz w:val="21"/>
          <w:szCs w:val="24"/>
        </w:rPr>
        <w:t>也</w:t>
      </w:r>
      <w:r>
        <w:rPr>
          <w:rFonts w:ascii="Times New Roman" w:hAnsi="Times New Roman" w:eastAsia="宋体"/>
          <w:color w:val="auto"/>
          <w:kern w:val="0"/>
          <w:sz w:val="21"/>
          <w:szCs w:val="24"/>
        </w:rPr>
        <w:t>会引起平衡控制不佳</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NE.Ref.{965988C6-42EC-432F-AD68-82D08894EF89}</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[8</w:t>
      </w:r>
      <w:r>
        <w:rPr>
          <w:rFonts w:hint="eastAsia" w:ascii="Times New Roman" w:hAnsi="Times New Roman" w:eastAsia="宋体"/>
          <w:color w:val="auto"/>
          <w:sz w:val="21"/>
          <w:szCs w:val="24"/>
          <w:vertAlign w:val="superscript"/>
          <w:lang w:eastAsia="zh-CN"/>
        </w:rPr>
        <w:t>，</w:t>
      </w:r>
      <w:r>
        <w:rPr>
          <w:rFonts w:hint="eastAsia" w:ascii="Times New Roman" w:hAnsi="Times New Roman" w:eastAsia="宋体"/>
          <w:color w:val="auto"/>
          <w:sz w:val="21"/>
          <w:szCs w:val="24"/>
          <w:vertAlign w:val="superscript"/>
        </w:rPr>
        <w:t>26]</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，跌倒风险增加</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NE.Ref.{FF7F6DB7-D37E-42B0-B792-6E5DA6D2BBEE}</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[26]</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等一系列的问题。</w:t>
      </w:r>
    </w:p>
    <w:p w14:paraId="169FA246">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本研究还发现</w:t>
      </w:r>
      <w:r>
        <w:rPr>
          <w:rFonts w:hint="eastAsia"/>
          <w:color w:val="auto"/>
          <w:kern w:val="0"/>
          <w:sz w:val="21"/>
          <w:szCs w:val="24"/>
          <w:lang w:eastAsia="zh-CN"/>
        </w:rPr>
        <w:t>，</w:t>
      </w:r>
      <w:r>
        <w:rPr>
          <w:rFonts w:ascii="Times New Roman" w:hAnsi="Times New Roman" w:eastAsia="宋体"/>
          <w:color w:val="auto"/>
          <w:kern w:val="0"/>
          <w:sz w:val="21"/>
          <w:szCs w:val="24"/>
        </w:rPr>
        <w:t>连续步行中骨盆偏瘫侧和非偏瘫侧的渐进不对称改变。随着步行时间的延长，偏瘫侧骨盆前后倾斜ROM是逐渐增大的，而非偏瘫侧骨盆前后倾斜</w:t>
      </w:r>
      <w:r>
        <w:rPr>
          <w:rFonts w:ascii="Times New Roman" w:hAnsi="Times New Roman" w:eastAsia="宋体"/>
          <w:color w:val="auto"/>
          <w:kern w:val="0"/>
          <w:sz w:val="21"/>
          <w:szCs w:val="24"/>
          <w:highlight w:val="none"/>
        </w:rPr>
        <w:t>ROM</w:t>
      </w:r>
      <w:r>
        <w:rPr>
          <w:rFonts w:hint="eastAsia" w:ascii="Times New Roman" w:hAnsi="Times New Roman" w:eastAsia="宋体"/>
          <w:color w:val="auto"/>
          <w:kern w:val="0"/>
          <w:sz w:val="21"/>
          <w:szCs w:val="24"/>
          <w:highlight w:val="none"/>
          <w:lang w:val="en-US" w:eastAsia="zh-CN"/>
        </w:rPr>
        <w:t>则</w:t>
      </w:r>
      <w:r>
        <w:rPr>
          <w:rFonts w:ascii="Times New Roman" w:hAnsi="Times New Roman" w:eastAsia="宋体"/>
          <w:color w:val="auto"/>
          <w:kern w:val="0"/>
          <w:sz w:val="21"/>
          <w:szCs w:val="24"/>
        </w:rPr>
        <w:t>略有减小。</w:t>
      </w:r>
      <w:r>
        <w:rPr>
          <w:rFonts w:hint="eastAsia"/>
          <w:color w:val="auto"/>
          <w:kern w:val="0"/>
          <w:sz w:val="21"/>
          <w:szCs w:val="24"/>
          <w:lang w:eastAsia="zh-CN"/>
        </w:rPr>
        <w:t>也有</w:t>
      </w:r>
      <w:r>
        <w:rPr>
          <w:rFonts w:ascii="Times New Roman" w:hAnsi="Times New Roman" w:eastAsia="宋体"/>
          <w:color w:val="auto"/>
          <w:kern w:val="0"/>
          <w:sz w:val="21"/>
          <w:szCs w:val="24"/>
        </w:rPr>
        <w:t>研究认为</w:t>
      </w:r>
      <w:r>
        <w:rPr>
          <w:rFonts w:hint="eastAsia"/>
          <w:color w:val="auto"/>
          <w:kern w:val="0"/>
          <w:sz w:val="21"/>
          <w:szCs w:val="24"/>
          <w:lang w:eastAsia="zh-CN"/>
        </w:rPr>
        <w:t>，</w:t>
      </w:r>
      <w:r>
        <w:rPr>
          <w:rFonts w:ascii="Times New Roman" w:hAnsi="Times New Roman" w:eastAsia="宋体"/>
          <w:color w:val="auto"/>
          <w:kern w:val="0"/>
          <w:sz w:val="21"/>
          <w:szCs w:val="24"/>
        </w:rPr>
        <w:t>脑卒中患者骨盆前后倾斜ROM的增加是躯干控制受损的结果，也是下肢损伤后</w:t>
      </w:r>
      <w:r>
        <w:rPr>
          <w:rFonts w:hint="eastAsia" w:ascii="Times New Roman" w:hAnsi="Times New Roman" w:eastAsia="宋体"/>
          <w:color w:val="auto"/>
          <w:kern w:val="0"/>
          <w:sz w:val="21"/>
          <w:szCs w:val="24"/>
        </w:rPr>
        <w:t>代偿</w:t>
      </w:r>
      <w:r>
        <w:rPr>
          <w:rFonts w:ascii="Times New Roman" w:hAnsi="Times New Roman" w:eastAsia="宋体"/>
          <w:color w:val="auto"/>
          <w:kern w:val="0"/>
          <w:sz w:val="21"/>
          <w:szCs w:val="24"/>
        </w:rPr>
        <w:t>的结果</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NE.Ref.{A6E2DAEB-7CC7-4FFE-8BE9-3D02A76B79CA}</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[27</w:t>
      </w:r>
      <w:r>
        <w:rPr>
          <w:rFonts w:hint="eastAsia" w:ascii="Times New Roman" w:hAnsi="Times New Roman" w:eastAsia="宋体"/>
          <w:color w:val="auto"/>
          <w:sz w:val="21"/>
          <w:szCs w:val="24"/>
          <w:vertAlign w:val="superscript"/>
          <w:lang w:val="en-US" w:eastAsia="zh-CN"/>
        </w:rPr>
        <w:t>-</w:t>
      </w:r>
      <w:r>
        <w:rPr>
          <w:rFonts w:hint="eastAsia" w:ascii="Times New Roman" w:hAnsi="Times New Roman" w:eastAsia="宋体"/>
          <w:color w:val="auto"/>
          <w:sz w:val="21"/>
          <w:szCs w:val="24"/>
          <w:vertAlign w:val="superscript"/>
        </w:rPr>
        <w:t>28]</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。分析引起这种变化的原因，考虑为不对称的姿势控制引发运动感觉反馈错误的有害连锁反应，导致不对称加速、身体不平衡和肌肉骨骼问题的加剧，从而加剧姿势控制不当</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NE.Ref.{CD2909C6-DEFD-4E14-BB21-3EAFFE0FB640}</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[11]</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。另外，连续步行后肢体运动疲劳问题，也需要考虑。研究认为卒中后肌肉疲劳会影响平衡</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NE.Ref.{AEC52857-C27C-4264-A1C0-31B2FD3D4DA5}</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，影响长时间持续活动的任务</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NE.Ref.{83293EBD-431D-4FAA-8E7F-1D1577D2234C}</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[21]</w:t>
      </w:r>
      <w:r>
        <w:rPr>
          <w:rFonts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，最终影响运动功能的恢复</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NE.Ref.{83ADC313-9C11-43C6-9D20-C5DBF09D7109}</w:instrText>
      </w:r>
      <w:r>
        <w:rPr>
          <w:rFonts w:hint="eastAsia"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[30]</w:t>
      </w:r>
      <w:r>
        <w:rPr>
          <w:rFonts w:hint="eastAsia"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w:t>
      </w:r>
    </w:p>
    <w:p w14:paraId="61B7606A">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除了骨盆前后倾斜的不对称，本研究还观察到偏瘫侧骨盆向上侧倾的幅度比非偏瘫侧更显著。研究认为，</w:t>
      </w:r>
      <w:r>
        <w:rPr>
          <w:rFonts w:ascii="Times New Roman" w:hAnsi="Times New Roman" w:eastAsia="宋体"/>
          <w:color w:val="auto"/>
          <w:kern w:val="0"/>
          <w:sz w:val="21"/>
          <w:szCs w:val="24"/>
          <w:highlight w:val="none"/>
        </w:rPr>
        <w:t>由于</w:t>
      </w:r>
      <w:r>
        <w:rPr>
          <w:rFonts w:ascii="Times New Roman" w:hAnsi="Times New Roman" w:eastAsia="宋体"/>
          <w:color w:val="auto"/>
          <w:kern w:val="0"/>
          <w:sz w:val="21"/>
          <w:szCs w:val="24"/>
        </w:rPr>
        <w:t>偏瘫侧髋关节屈曲、膝关节屈曲和踝关节背屈不足，为了将偏瘫侧的脚从地面上移开，骨盆代偿性</w:t>
      </w:r>
      <w:r>
        <w:rPr>
          <w:rFonts w:hint="eastAsia" w:ascii="Times New Roman" w:hAnsi="Times New Roman" w:eastAsia="宋体"/>
          <w:color w:val="auto"/>
          <w:kern w:val="0"/>
          <w:sz w:val="21"/>
          <w:szCs w:val="24"/>
          <w:lang w:val="en-US" w:eastAsia="zh-CN"/>
        </w:rPr>
        <w:t>地</w:t>
      </w:r>
      <w:r>
        <w:rPr>
          <w:rFonts w:ascii="Times New Roman" w:hAnsi="Times New Roman" w:eastAsia="宋体"/>
          <w:color w:val="auto"/>
          <w:kern w:val="0"/>
          <w:sz w:val="21"/>
          <w:szCs w:val="24"/>
        </w:rPr>
        <w:t>向上运动</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NE.Ref.{A75C6DF8-C19E-4349-A8F3-569201B7C663}</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[20]</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，从而表现出提髋行走的步态</w:t>
      </w:r>
      <w:r>
        <w:rPr>
          <w:rFonts w:hint="eastAsia" w:ascii="Times New Roman" w:hAnsi="Times New Roman" w:eastAsia="宋体"/>
          <w:color w:val="auto"/>
          <w:kern w:val="0"/>
          <w:sz w:val="21"/>
          <w:szCs w:val="24"/>
        </w:rPr>
        <w:t>。但是，偏瘫侧肢体摆动过程中骨盆侧倾角度的增加被认为是一种低效的生物力学策略</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NE.Ref.{8F30E0BC-BB97-4836-8E35-05BD1E253AF4}</w:instrText>
      </w:r>
      <w:r>
        <w:rPr>
          <w:rFonts w:hint="eastAsia"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[31]</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骨盆旋转是由髋关节内旋引起</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骨盆旋转有助于增加步幅</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NE.Ref.{F83BBF6B-DB7E-453C-A40B-C990FF0C7B6F}</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[32]</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和节约能量</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NE.Ref.{09321548-5D73-4135-8E77-32314DD5DA59}</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[33]</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w:t>
      </w:r>
      <w:r>
        <w:rPr>
          <w:rFonts w:hint="eastAsia" w:ascii="Times New Roman" w:hAnsi="Times New Roman" w:eastAsia="宋体"/>
          <w:color w:val="auto"/>
          <w:kern w:val="0"/>
          <w:sz w:val="21"/>
          <w:szCs w:val="24"/>
        </w:rPr>
        <w:t>骨盆旋转运动的增加可以改善步速和步长</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NE.Ref.{C0811668-11AA-46BA-81FA-994539BB4A4A}</w:instrText>
      </w:r>
      <w:r>
        <w:rPr>
          <w:rFonts w:hint="eastAsia"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[34]</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，因此，</w:t>
      </w:r>
      <w:r>
        <w:rPr>
          <w:rFonts w:ascii="Times New Roman" w:hAnsi="Times New Roman" w:eastAsia="宋体"/>
          <w:color w:val="auto"/>
          <w:kern w:val="0"/>
          <w:sz w:val="21"/>
          <w:szCs w:val="24"/>
        </w:rPr>
        <w:t>骨盆旋转增加被认为是一个积极的迹象</w:t>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在步态训练中至关重要。本研究</w:t>
      </w:r>
      <w:r>
        <w:rPr>
          <w:rFonts w:hint="eastAsia"/>
          <w:color w:val="auto"/>
          <w:kern w:val="0"/>
          <w:sz w:val="21"/>
          <w:szCs w:val="24"/>
          <w:lang w:eastAsia="zh-CN"/>
        </w:rPr>
        <w:t>还</w:t>
      </w:r>
      <w:r>
        <w:rPr>
          <w:rFonts w:ascii="Times New Roman" w:hAnsi="Times New Roman" w:eastAsia="宋体"/>
          <w:color w:val="auto"/>
          <w:kern w:val="0"/>
          <w:sz w:val="21"/>
          <w:szCs w:val="24"/>
        </w:rPr>
        <w:t>发现</w:t>
      </w:r>
      <w:r>
        <w:rPr>
          <w:rFonts w:hint="eastAsia"/>
          <w:color w:val="auto"/>
          <w:kern w:val="0"/>
          <w:sz w:val="21"/>
          <w:szCs w:val="24"/>
          <w:lang w:eastAsia="zh-CN"/>
        </w:rPr>
        <w:t>，</w:t>
      </w:r>
      <w:r>
        <w:rPr>
          <w:rFonts w:ascii="Times New Roman" w:hAnsi="Times New Roman" w:eastAsia="宋体"/>
          <w:color w:val="auto"/>
          <w:kern w:val="0"/>
          <w:sz w:val="21"/>
          <w:szCs w:val="24"/>
        </w:rPr>
        <w:t>偏瘫侧骨盆旋</w:t>
      </w:r>
      <w:r>
        <w:rPr>
          <w:rFonts w:hint="eastAsia" w:ascii="Times New Roman" w:hAnsi="Times New Roman" w:eastAsia="宋体"/>
          <w:color w:val="auto"/>
          <w:kern w:val="0"/>
          <w:sz w:val="21"/>
          <w:szCs w:val="24"/>
        </w:rPr>
        <w:t>内</w:t>
      </w:r>
      <w:r>
        <w:rPr>
          <w:rFonts w:ascii="Times New Roman" w:hAnsi="Times New Roman" w:eastAsia="宋体"/>
          <w:color w:val="auto"/>
          <w:kern w:val="0"/>
          <w:sz w:val="21"/>
          <w:szCs w:val="24"/>
        </w:rPr>
        <w:t>在连续步行中呈渐进性减小趋势，而非偏瘫侧骨盆旋</w:t>
      </w:r>
      <w:r>
        <w:rPr>
          <w:rFonts w:hint="eastAsia" w:ascii="Times New Roman" w:hAnsi="Times New Roman" w:eastAsia="宋体"/>
          <w:color w:val="auto"/>
          <w:kern w:val="0"/>
          <w:sz w:val="21"/>
          <w:szCs w:val="24"/>
        </w:rPr>
        <w:t>内</w:t>
      </w:r>
      <w:r>
        <w:rPr>
          <w:rFonts w:ascii="Times New Roman" w:hAnsi="Times New Roman" w:eastAsia="宋体"/>
          <w:color w:val="auto"/>
          <w:kern w:val="0"/>
          <w:sz w:val="21"/>
          <w:szCs w:val="24"/>
        </w:rPr>
        <w:t>未见对称性的渐进改变趋势。</w:t>
      </w:r>
    </w:p>
    <w:p w14:paraId="52FAAD21">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ascii="Times New Roman" w:hAnsi="Times New Roman" w:eastAsia="宋体"/>
          <w:color w:val="auto"/>
          <w:kern w:val="0"/>
          <w:sz w:val="21"/>
          <w:szCs w:val="24"/>
        </w:rPr>
        <w:t>骨盆活动的不对称性在连续步行中的渐进变化，不同步行能力患者表现是不一样的。研究认为，严重步态障碍和行走速度缓慢的脑卒中患者表现出显著的时间变异性和不对称性</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NE.Ref.{D45C564B-0CDE-4038-B742-A19F65976954}</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[22</w:t>
      </w:r>
      <w:r>
        <w:rPr>
          <w:rFonts w:hint="eastAsia" w:ascii="Times New Roman" w:hAnsi="Times New Roman" w:eastAsia="宋体"/>
          <w:color w:val="auto"/>
          <w:sz w:val="21"/>
          <w:szCs w:val="24"/>
          <w:vertAlign w:val="superscript"/>
          <w:lang w:val="en-US" w:eastAsia="zh-CN"/>
        </w:rPr>
        <w:t>-</w:t>
      </w:r>
      <w:r>
        <w:rPr>
          <w:rFonts w:ascii="Times New Roman" w:hAnsi="Times New Roman" w:eastAsia="宋体"/>
          <w:color w:val="auto"/>
          <w:sz w:val="21"/>
          <w:szCs w:val="24"/>
          <w:vertAlign w:val="superscript"/>
        </w:rPr>
        <w:t>23</w:t>
      </w:r>
      <w:r>
        <w:rPr>
          <w:rFonts w:hint="eastAsia" w:ascii="Times New Roman" w:hAnsi="Times New Roman" w:eastAsia="宋体"/>
          <w:color w:val="auto"/>
          <w:sz w:val="21"/>
          <w:szCs w:val="24"/>
          <w:vertAlign w:val="superscript"/>
          <w:lang w:eastAsia="zh-CN"/>
        </w:rPr>
        <w:t>，</w:t>
      </w:r>
      <w:r>
        <w:rPr>
          <w:rFonts w:ascii="Times New Roman" w:hAnsi="Times New Roman" w:eastAsia="宋体"/>
          <w:color w:val="auto"/>
          <w:sz w:val="21"/>
          <w:szCs w:val="24"/>
          <w:vertAlign w:val="superscript"/>
        </w:rPr>
        <w:t>35]</w:t>
      </w:r>
      <w:r>
        <w:rPr>
          <w:rFonts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，并且，</w:t>
      </w:r>
      <w:r>
        <w:rPr>
          <w:rFonts w:ascii="Times New Roman" w:hAnsi="Times New Roman" w:eastAsia="宋体"/>
          <w:color w:val="auto"/>
          <w:kern w:val="0"/>
          <w:sz w:val="21"/>
          <w:szCs w:val="24"/>
        </w:rPr>
        <w:t>偏瘫侧肢体无力程度越高，步态的不对称程度越大</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NE.Ref.{3B68F064-5886-4340-9C6D-FBB8A931199C}</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w:t>
      </w:r>
      <w:r>
        <w:rPr>
          <w:rFonts w:hint="eastAsia" w:ascii="Times New Roman" w:hAnsi="Times New Roman" w:eastAsia="宋体"/>
          <w:color w:val="auto"/>
          <w:sz w:val="21"/>
          <w:szCs w:val="24"/>
          <w:vertAlign w:val="superscript"/>
        </w:rPr>
        <w:t>9</w:t>
      </w:r>
      <w:r>
        <w:rPr>
          <w:rFonts w:ascii="Times New Roman" w:hAnsi="Times New Roman" w:eastAsia="宋体"/>
          <w:color w:val="auto"/>
          <w:sz w:val="21"/>
          <w:szCs w:val="24"/>
          <w:vertAlign w:val="superscript"/>
        </w:rPr>
        <w:t>]</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。本研究观察到室内步行能力的患者，骨盆前倾和旋内呈不对称性渐进改变。与偏瘫严重的患者相比，偏瘫程度轻的患者其步态模式可能更接近对称</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NE.Ref.{73DA7DF5-B92E-4773-B33D-1A24F04818FF}</w:instrText>
      </w:r>
      <w:r>
        <w:rPr>
          <w:rFonts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w:t>
      </w:r>
      <w:r>
        <w:rPr>
          <w:rFonts w:hint="eastAsia"/>
          <w:color w:val="auto"/>
          <w:kern w:val="0"/>
          <w:sz w:val="21"/>
          <w:szCs w:val="24"/>
          <w:lang w:val="en-US" w:eastAsia="zh-CN"/>
        </w:rPr>
        <w:t>本研究还</w:t>
      </w:r>
      <w:r>
        <w:rPr>
          <w:rFonts w:ascii="Times New Roman" w:hAnsi="Times New Roman" w:eastAsia="宋体"/>
          <w:color w:val="auto"/>
          <w:kern w:val="0"/>
          <w:sz w:val="21"/>
          <w:szCs w:val="24"/>
        </w:rPr>
        <w:t>发现</w:t>
      </w:r>
      <w:r>
        <w:rPr>
          <w:rFonts w:hint="eastAsia"/>
          <w:color w:val="auto"/>
          <w:kern w:val="0"/>
          <w:sz w:val="21"/>
          <w:szCs w:val="24"/>
          <w:lang w:eastAsia="zh-CN"/>
        </w:rPr>
        <w:t>，</w:t>
      </w:r>
      <w:r>
        <w:rPr>
          <w:rFonts w:ascii="Times New Roman" w:hAnsi="Times New Roman" w:eastAsia="宋体"/>
          <w:color w:val="auto"/>
          <w:kern w:val="0"/>
          <w:sz w:val="21"/>
          <w:szCs w:val="24"/>
        </w:rPr>
        <w:t>室外步行能力的患者仅见骨盆前后倾斜ROM不对称趋势，而骨盆旋转和侧倾均未见渐进不对称的变化。</w:t>
      </w:r>
    </w:p>
    <w:p w14:paraId="1D51A1E6">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left"/>
        <w:rPr>
          <w:rFonts w:hint="eastAsia" w:ascii="Times New Roman" w:hAnsi="Times New Roman" w:eastAsia="宋体"/>
          <w:i w:val="0"/>
          <w:iCs w:val="0"/>
          <w:color w:val="auto"/>
          <w:kern w:val="0"/>
          <w:sz w:val="21"/>
          <w:szCs w:val="24"/>
        </w:rPr>
      </w:pPr>
      <w:r>
        <w:rPr>
          <w:rFonts w:hint="eastAsia" w:ascii="Times New Roman" w:hAnsi="Times New Roman" w:eastAsia="宋体"/>
          <w:color w:val="auto"/>
          <w:kern w:val="0"/>
          <w:sz w:val="21"/>
          <w:szCs w:val="24"/>
        </w:rPr>
        <w:t>骨盆旋转、骨盆倾斜和骨盆侧向运动对行走过程中的平衡和重心转移至关重要</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NE.Ref.{320670AC-CA2A-4E5A-8231-3FF54358A25C}</w:instrText>
      </w:r>
      <w:r>
        <w:rPr>
          <w:rFonts w:hint="eastAsia" w:ascii="Times New Roman" w:hAnsi="Times New Roman" w:eastAsia="宋体"/>
          <w:color w:val="auto"/>
          <w:kern w:val="0"/>
          <w:sz w:val="21"/>
          <w:szCs w:val="24"/>
        </w:rPr>
        <w:fldChar w:fldCharType="separate"/>
      </w:r>
      <w:r>
        <w:rPr>
          <w:rFonts w:ascii="Times New Roman" w:hAnsi="Times New Roman" w:eastAsia="宋体"/>
          <w:color w:val="auto"/>
          <w:sz w:val="21"/>
          <w:szCs w:val="24"/>
          <w:vertAlign w:val="superscript"/>
        </w:rPr>
        <w:t>[</w:t>
      </w:r>
      <w:r>
        <w:rPr>
          <w:rFonts w:hint="eastAsia" w:ascii="Times New Roman" w:hAnsi="Times New Roman" w:eastAsia="宋体"/>
          <w:color w:val="auto"/>
          <w:sz w:val="21"/>
          <w:szCs w:val="24"/>
          <w:vertAlign w:val="superscript"/>
        </w:rPr>
        <w:t>17</w:t>
      </w:r>
      <w:r>
        <w:rPr>
          <w:rFonts w:ascii="Times New Roman" w:hAnsi="Times New Roman" w:eastAsia="宋体"/>
          <w:color w:val="auto"/>
          <w:sz w:val="21"/>
          <w:szCs w:val="24"/>
          <w:vertAlign w:val="superscript"/>
        </w:rPr>
        <w:t>]</w:t>
      </w:r>
      <w:r>
        <w:rPr>
          <w:rFonts w:hint="eastAsia" w:ascii="Times New Roman" w:hAnsi="Times New Roman" w:eastAsia="宋体"/>
          <w:color w:val="auto"/>
          <w:kern w:val="0"/>
          <w:sz w:val="21"/>
          <w:szCs w:val="24"/>
        </w:rPr>
        <w:fldChar w:fldCharType="end"/>
      </w:r>
      <w:r>
        <w:rPr>
          <w:rFonts w:hint="eastAsia" w:ascii="Times New Roman" w:hAnsi="Times New Roman" w:eastAsia="宋体"/>
          <w:color w:val="auto"/>
          <w:kern w:val="0"/>
          <w:sz w:val="21"/>
          <w:szCs w:val="24"/>
        </w:rPr>
        <w:t>。</w:t>
      </w:r>
      <w:r>
        <w:rPr>
          <w:rFonts w:ascii="Times New Roman" w:hAnsi="Times New Roman" w:eastAsia="宋体"/>
          <w:color w:val="auto"/>
          <w:kern w:val="0"/>
          <w:sz w:val="21"/>
          <w:szCs w:val="24"/>
        </w:rPr>
        <w:t>因此脑卒中偏瘫患者在恢复行走过程中重建对骨盆运动的控制非常重要。针对骨盆的训练可以改善偏瘫患者的平衡</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NE.Ref.{67DB5CA0-D6C8-4213-B08E-4A4FB573682B}</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[36]</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、步态</w:t>
      </w:r>
      <w:r>
        <w:rPr>
          <w:rFonts w:hint="eastAsia" w:ascii="Times New Roman" w:hAnsi="Times New Roman" w:eastAsia="宋体"/>
          <w:color w:val="auto"/>
          <w:kern w:val="0"/>
          <w:sz w:val="21"/>
          <w:szCs w:val="24"/>
        </w:rPr>
        <w:t>能力</w:t>
      </w:r>
      <w:r>
        <w:rPr>
          <w:rFonts w:hint="eastAsia"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NE.Ref.{5E842E08-D57A-4F44-A545-311A82279EAE}</w:instrText>
      </w:r>
      <w:r>
        <w:rPr>
          <w:rFonts w:hint="eastAsia"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[37</w:t>
      </w:r>
      <w:r>
        <w:rPr>
          <w:rFonts w:hint="eastAsia" w:ascii="Times New Roman" w:hAnsi="Times New Roman" w:eastAsia="宋体"/>
          <w:color w:val="auto"/>
          <w:sz w:val="21"/>
          <w:szCs w:val="24"/>
          <w:vertAlign w:val="superscript"/>
          <w:lang w:val="en-US" w:eastAsia="zh-CN"/>
        </w:rPr>
        <w:t>-</w:t>
      </w:r>
      <w:r>
        <w:rPr>
          <w:rFonts w:hint="eastAsia" w:ascii="Times New Roman" w:hAnsi="Times New Roman" w:eastAsia="宋体"/>
          <w:color w:val="auto"/>
          <w:sz w:val="21"/>
          <w:szCs w:val="24"/>
          <w:vertAlign w:val="superscript"/>
        </w:rPr>
        <w:t>38]</w:t>
      </w:r>
      <w:r>
        <w:rPr>
          <w:rFonts w:hint="eastAsia"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和不对称性</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NE.Ref.{355E3F0D-E60E-4665-B4E9-97572276D25A}</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[39]</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，使患者的康复速度更快，更好地提高个人生活质量</w:t>
      </w:r>
      <w:r>
        <w:rPr>
          <w:rFonts w:ascii="Times New Roman" w:hAnsi="Times New Roman" w:eastAsia="宋体"/>
          <w:color w:val="auto"/>
          <w:kern w:val="0"/>
          <w:sz w:val="21"/>
          <w:szCs w:val="24"/>
        </w:rPr>
        <w:fldChar w:fldCharType="begin"/>
      </w:r>
      <w:r>
        <w:rPr>
          <w:rFonts w:hint="eastAsia" w:ascii="Times New Roman" w:hAnsi="Times New Roman" w:eastAsia="宋体"/>
          <w:color w:val="auto"/>
          <w:kern w:val="0"/>
          <w:sz w:val="21"/>
          <w:szCs w:val="24"/>
        </w:rPr>
        <w:instrText xml:space="preserve"> ADDIN NE.Ref.{D9DCD74A-A18E-469B-8BA1-7DB68368FA06}</w:instrText>
      </w:r>
      <w:r>
        <w:rPr>
          <w:rFonts w:ascii="Times New Roman" w:hAnsi="Times New Roman" w:eastAsia="宋体"/>
          <w:color w:val="auto"/>
          <w:kern w:val="0"/>
          <w:sz w:val="21"/>
          <w:szCs w:val="24"/>
        </w:rPr>
        <w:fldChar w:fldCharType="separate"/>
      </w:r>
      <w:r>
        <w:rPr>
          <w:rFonts w:hint="eastAsia" w:ascii="Times New Roman" w:hAnsi="Times New Roman" w:eastAsia="宋体"/>
          <w:color w:val="auto"/>
          <w:sz w:val="21"/>
          <w:szCs w:val="24"/>
          <w:vertAlign w:val="superscript"/>
        </w:rPr>
        <w:t>[40]</w:t>
      </w:r>
      <w:r>
        <w:rPr>
          <w:rFonts w:ascii="Times New Roman" w:hAnsi="Times New Roman" w:eastAsia="宋体"/>
          <w:color w:val="auto"/>
          <w:kern w:val="0"/>
          <w:sz w:val="21"/>
          <w:szCs w:val="24"/>
        </w:rPr>
        <w:fldChar w:fldCharType="end"/>
      </w:r>
      <w:r>
        <w:rPr>
          <w:rFonts w:ascii="Times New Roman" w:hAnsi="Times New Roman" w:eastAsia="宋体"/>
          <w:color w:val="auto"/>
          <w:kern w:val="0"/>
          <w:sz w:val="21"/>
          <w:szCs w:val="24"/>
        </w:rPr>
        <w:t>。</w:t>
      </w:r>
      <w:r>
        <w:rPr>
          <w:rFonts w:hint="eastAsia" w:ascii="Times New Roman" w:hAnsi="Times New Roman" w:eastAsia="宋体"/>
          <w:i w:val="0"/>
          <w:iCs w:val="0"/>
          <w:color w:val="auto"/>
          <w:kern w:val="0"/>
          <w:sz w:val="21"/>
          <w:szCs w:val="24"/>
          <w:lang w:val="en-US" w:eastAsia="zh-CN"/>
        </w:rPr>
        <w:t>研究发现，</w:t>
      </w:r>
      <w:r>
        <w:rPr>
          <w:rFonts w:hint="eastAsia" w:ascii="Times New Roman" w:hAnsi="Times New Roman" w:eastAsia="宋体"/>
          <w:i w:val="0"/>
          <w:iCs w:val="0"/>
          <w:color w:val="auto"/>
          <w:kern w:val="0"/>
          <w:sz w:val="21"/>
          <w:szCs w:val="24"/>
        </w:rPr>
        <w:t>髋关节伸屈和膝关节屈曲</w:t>
      </w:r>
      <w:r>
        <w:rPr>
          <w:rFonts w:hint="eastAsia" w:ascii="Times New Roman" w:hAnsi="Times New Roman" w:eastAsia="宋体"/>
          <w:i w:val="0"/>
          <w:iCs w:val="0"/>
          <w:color w:val="auto"/>
          <w:kern w:val="0"/>
          <w:sz w:val="21"/>
          <w:szCs w:val="24"/>
          <w:lang w:val="en-US" w:eastAsia="zh-CN"/>
        </w:rPr>
        <w:t>的增强可以减少</w:t>
      </w:r>
      <w:r>
        <w:rPr>
          <w:rFonts w:hint="eastAsia" w:ascii="Times New Roman" w:hAnsi="Times New Roman" w:eastAsia="宋体"/>
          <w:i w:val="0"/>
          <w:iCs w:val="0"/>
          <w:color w:val="auto"/>
          <w:kern w:val="0"/>
          <w:sz w:val="21"/>
          <w:szCs w:val="24"/>
        </w:rPr>
        <w:t>骨盆</w:t>
      </w:r>
      <w:r>
        <w:rPr>
          <w:rFonts w:hint="eastAsia" w:ascii="Times New Roman" w:hAnsi="Times New Roman" w:eastAsia="宋体"/>
          <w:i w:val="0"/>
          <w:iCs w:val="0"/>
          <w:color w:val="auto"/>
          <w:kern w:val="0"/>
          <w:sz w:val="21"/>
          <w:szCs w:val="24"/>
          <w:lang w:val="en-US" w:eastAsia="zh-CN"/>
        </w:rPr>
        <w:t>的代</w:t>
      </w:r>
      <w:r>
        <w:rPr>
          <w:rFonts w:hint="eastAsia" w:ascii="Times New Roman" w:hAnsi="Times New Roman" w:eastAsia="宋体"/>
          <w:i w:val="0"/>
          <w:iCs w:val="0"/>
          <w:color w:val="auto"/>
          <w:kern w:val="0"/>
          <w:sz w:val="21"/>
          <w:szCs w:val="24"/>
        </w:rPr>
        <w:t>偿</w:t>
      </w:r>
      <w:r>
        <w:rPr>
          <w:rFonts w:hint="eastAsia" w:ascii="Times New Roman" w:hAnsi="Times New Roman" w:eastAsia="宋体"/>
          <w:i w:val="0"/>
          <w:iCs w:val="0"/>
          <w:color w:val="auto"/>
          <w:kern w:val="0"/>
          <w:sz w:val="21"/>
          <w:szCs w:val="24"/>
          <w:lang w:eastAsia="zh-CN"/>
        </w:rPr>
        <w:t>，</w:t>
      </w:r>
      <w:r>
        <w:rPr>
          <w:rFonts w:hint="eastAsia" w:ascii="Times New Roman" w:hAnsi="Times New Roman" w:eastAsia="宋体"/>
          <w:i w:val="0"/>
          <w:iCs w:val="0"/>
          <w:color w:val="auto"/>
          <w:kern w:val="0"/>
          <w:sz w:val="21"/>
          <w:szCs w:val="24"/>
          <w:lang w:val="en-US" w:eastAsia="zh-CN"/>
        </w:rPr>
        <w:t>其中</w:t>
      </w:r>
      <w:r>
        <w:rPr>
          <w:rFonts w:hint="eastAsia" w:ascii="Times New Roman" w:hAnsi="Times New Roman" w:eastAsia="宋体"/>
          <w:i w:val="0"/>
          <w:iCs w:val="0"/>
          <w:color w:val="auto"/>
          <w:kern w:val="0"/>
          <w:sz w:val="21"/>
          <w:szCs w:val="24"/>
        </w:rPr>
        <w:t>髋关节伸展力量对骨盆</w:t>
      </w:r>
      <w:r>
        <w:rPr>
          <w:rFonts w:hint="eastAsia" w:ascii="Times New Roman" w:hAnsi="Times New Roman" w:eastAsia="宋体"/>
          <w:i w:val="0"/>
          <w:iCs w:val="0"/>
          <w:color w:val="auto"/>
          <w:kern w:val="0"/>
          <w:sz w:val="21"/>
          <w:szCs w:val="24"/>
          <w:lang w:val="en-US" w:eastAsia="zh-CN"/>
        </w:rPr>
        <w:t>代偿</w:t>
      </w:r>
      <w:r>
        <w:rPr>
          <w:rFonts w:hint="eastAsia" w:ascii="Times New Roman" w:hAnsi="Times New Roman" w:eastAsia="宋体"/>
          <w:i w:val="0"/>
          <w:iCs w:val="0"/>
          <w:color w:val="auto"/>
          <w:kern w:val="0"/>
          <w:sz w:val="21"/>
          <w:szCs w:val="24"/>
        </w:rPr>
        <w:t>行为的影响最大</w:t>
      </w:r>
      <w:r>
        <w:rPr>
          <w:rFonts w:hint="eastAsia" w:ascii="Times New Roman" w:hAnsi="Times New Roman" w:eastAsia="宋体"/>
          <w:i w:val="0"/>
          <w:iCs w:val="0"/>
          <w:color w:val="auto"/>
          <w:kern w:val="0"/>
          <w:sz w:val="21"/>
          <w:szCs w:val="24"/>
          <w:vertAlign w:val="superscript"/>
          <w:lang w:val="en-US" w:eastAsia="zh-CN"/>
        </w:rPr>
        <w:t>[20]</w:t>
      </w:r>
      <w:r>
        <w:rPr>
          <w:rFonts w:hint="eastAsia" w:ascii="Times New Roman" w:hAnsi="Times New Roman" w:eastAsia="宋体"/>
          <w:i w:val="0"/>
          <w:iCs w:val="0"/>
          <w:color w:val="auto"/>
          <w:kern w:val="0"/>
          <w:sz w:val="21"/>
          <w:szCs w:val="24"/>
        </w:rPr>
        <w:t>。骨盆旋转角度</w:t>
      </w:r>
      <w:r>
        <w:rPr>
          <w:rFonts w:hint="eastAsia" w:ascii="Times New Roman" w:hAnsi="Times New Roman" w:eastAsia="宋体"/>
          <w:i w:val="0"/>
          <w:iCs w:val="0"/>
          <w:color w:val="auto"/>
          <w:kern w:val="0"/>
          <w:sz w:val="21"/>
          <w:szCs w:val="24"/>
          <w:highlight w:val="none"/>
          <w:lang w:val="en-US" w:eastAsia="zh-CN"/>
        </w:rPr>
        <w:t>与</w:t>
      </w:r>
      <w:r>
        <w:rPr>
          <w:rFonts w:hint="eastAsia" w:ascii="Times New Roman" w:hAnsi="Times New Roman" w:eastAsia="宋体"/>
          <w:i w:val="0"/>
          <w:iCs w:val="0"/>
          <w:color w:val="auto"/>
          <w:kern w:val="0"/>
          <w:sz w:val="21"/>
          <w:szCs w:val="24"/>
          <w:highlight w:val="none"/>
        </w:rPr>
        <w:t>站立</w:t>
      </w:r>
      <w:r>
        <w:rPr>
          <w:rFonts w:hint="eastAsia" w:ascii="Times New Roman" w:hAnsi="Times New Roman" w:eastAsia="宋体"/>
          <w:i w:val="0"/>
          <w:iCs w:val="0"/>
          <w:color w:val="auto"/>
          <w:kern w:val="0"/>
          <w:sz w:val="21"/>
          <w:szCs w:val="24"/>
          <w:highlight w:val="none"/>
          <w:lang w:val="en-US" w:eastAsia="zh-CN"/>
        </w:rPr>
        <w:t>相</w:t>
      </w:r>
      <w:r>
        <w:rPr>
          <w:rFonts w:hint="eastAsia" w:ascii="Times New Roman" w:hAnsi="Times New Roman" w:eastAsia="宋体"/>
          <w:i w:val="0"/>
          <w:iCs w:val="0"/>
          <w:color w:val="auto"/>
          <w:kern w:val="0"/>
          <w:sz w:val="21"/>
          <w:szCs w:val="24"/>
        </w:rPr>
        <w:t>小腿垂直角度存在相互作用，</w:t>
      </w:r>
      <w:r>
        <w:rPr>
          <w:rFonts w:hint="eastAsia" w:ascii="Times New Roman" w:hAnsi="Times New Roman" w:eastAsia="宋体"/>
          <w:i w:val="0"/>
          <w:iCs w:val="0"/>
          <w:color w:val="auto"/>
          <w:kern w:val="0"/>
          <w:sz w:val="21"/>
          <w:szCs w:val="24"/>
          <w:lang w:val="en-US" w:eastAsia="zh-CN"/>
        </w:rPr>
        <w:t>使用</w:t>
      </w:r>
      <w:r>
        <w:rPr>
          <w:rFonts w:hint="eastAsia" w:ascii="Times New Roman" w:hAnsi="Times New Roman" w:eastAsia="宋体"/>
          <w:i w:val="0"/>
          <w:iCs w:val="0"/>
          <w:color w:val="auto"/>
          <w:kern w:val="0"/>
          <w:sz w:val="21"/>
          <w:szCs w:val="24"/>
        </w:rPr>
        <w:t>踝足矫形器</w:t>
      </w:r>
      <w:r>
        <w:rPr>
          <w:rFonts w:hint="eastAsia" w:ascii="Times New Roman" w:hAnsi="Times New Roman" w:eastAsia="宋体"/>
          <w:i w:val="0"/>
          <w:iCs w:val="0"/>
          <w:color w:val="auto"/>
          <w:kern w:val="0"/>
          <w:sz w:val="21"/>
          <w:szCs w:val="24"/>
          <w:lang w:val="en-US" w:eastAsia="zh-CN"/>
        </w:rPr>
        <w:t>可</w:t>
      </w:r>
      <w:r>
        <w:rPr>
          <w:rFonts w:hint="eastAsia" w:ascii="Times New Roman" w:hAnsi="Times New Roman" w:eastAsia="宋体"/>
          <w:i w:val="0"/>
          <w:iCs w:val="0"/>
          <w:color w:val="auto"/>
          <w:kern w:val="0"/>
          <w:sz w:val="21"/>
          <w:szCs w:val="24"/>
        </w:rPr>
        <w:t>显著改善骨盆旋转</w:t>
      </w:r>
      <w:r>
        <w:rPr>
          <w:rFonts w:hint="eastAsia" w:ascii="Times New Roman" w:hAnsi="Times New Roman" w:eastAsia="宋体"/>
          <w:i w:val="0"/>
          <w:iCs w:val="0"/>
          <w:color w:val="auto"/>
          <w:kern w:val="0"/>
          <w:sz w:val="21"/>
          <w:szCs w:val="24"/>
          <w:vertAlign w:val="superscript"/>
          <w:lang w:val="en-US" w:eastAsia="zh-CN"/>
        </w:rPr>
        <w:t>[34]</w:t>
      </w:r>
      <w:r>
        <w:rPr>
          <w:rFonts w:hint="eastAsia" w:ascii="Times New Roman" w:hAnsi="Times New Roman" w:eastAsia="宋体"/>
          <w:i w:val="0"/>
          <w:iCs w:val="0"/>
          <w:color w:val="auto"/>
          <w:kern w:val="0"/>
          <w:sz w:val="21"/>
          <w:szCs w:val="24"/>
          <w:lang w:eastAsia="zh-CN"/>
        </w:rPr>
        <w:t>。</w:t>
      </w:r>
      <w:r>
        <w:rPr>
          <w:rFonts w:hint="eastAsia" w:ascii="Times New Roman" w:hAnsi="Times New Roman" w:eastAsia="宋体" w:cs="Times-Roman"/>
          <w:b w:val="0"/>
          <w:bCs w:val="0"/>
          <w:i w:val="0"/>
          <w:iCs w:val="0"/>
          <w:color w:val="auto"/>
          <w:kern w:val="0"/>
          <w:sz w:val="21"/>
          <w:szCs w:val="24"/>
          <w:lang w:val="en-US" w:eastAsia="zh-CN" w:bidi="ar"/>
        </w:rPr>
        <w:t>在姿势控制训练中还可以使用胶带作为辅助治疗方法改善骨盆的稳定性</w:t>
      </w:r>
      <w:r>
        <w:rPr>
          <w:rFonts w:hint="eastAsia" w:ascii="Times New Roman" w:hAnsi="Times New Roman" w:eastAsia="宋体" w:cs="Times-Roman"/>
          <w:b w:val="0"/>
          <w:bCs w:val="0"/>
          <w:i w:val="0"/>
          <w:iCs w:val="0"/>
          <w:color w:val="auto"/>
          <w:kern w:val="0"/>
          <w:sz w:val="21"/>
          <w:szCs w:val="24"/>
          <w:vertAlign w:val="superscript"/>
          <w:lang w:val="en-US" w:eastAsia="zh-CN" w:bidi="ar"/>
        </w:rPr>
        <w:t>[41]</w:t>
      </w:r>
      <w:r>
        <w:rPr>
          <w:rFonts w:hint="eastAsia" w:ascii="Times New Roman" w:hAnsi="Times New Roman" w:eastAsia="宋体" w:cs="Times-Roman"/>
          <w:b w:val="0"/>
          <w:bCs w:val="0"/>
          <w:i w:val="0"/>
          <w:iCs w:val="0"/>
          <w:color w:val="auto"/>
          <w:kern w:val="0"/>
          <w:sz w:val="21"/>
          <w:szCs w:val="24"/>
          <w:lang w:val="en-US" w:eastAsia="zh-CN" w:bidi="ar"/>
        </w:rPr>
        <w:t>。</w:t>
      </w:r>
      <w:r>
        <w:rPr>
          <w:rFonts w:hint="eastAsia" w:ascii="Times New Roman" w:hAnsi="Times New Roman" w:eastAsia="宋体"/>
          <w:i w:val="0"/>
          <w:iCs w:val="0"/>
          <w:color w:val="auto"/>
          <w:kern w:val="0"/>
          <w:sz w:val="21"/>
          <w:szCs w:val="24"/>
        </w:rPr>
        <w:t>这些发现为</w:t>
      </w:r>
      <w:r>
        <w:rPr>
          <w:rFonts w:hint="eastAsia" w:ascii="Times New Roman" w:hAnsi="Times New Roman" w:eastAsia="宋体"/>
          <w:i w:val="0"/>
          <w:iCs w:val="0"/>
          <w:color w:val="auto"/>
          <w:kern w:val="0"/>
          <w:sz w:val="21"/>
          <w:szCs w:val="24"/>
          <w:lang w:val="en-US" w:eastAsia="zh-CN"/>
        </w:rPr>
        <w:t>脑卒中偏瘫患者的骨盆不对称性实施有</w:t>
      </w:r>
      <w:r>
        <w:rPr>
          <w:rFonts w:hint="eastAsia" w:ascii="Times New Roman" w:hAnsi="Times New Roman" w:eastAsia="宋体"/>
          <w:i w:val="0"/>
          <w:iCs w:val="0"/>
          <w:color w:val="auto"/>
          <w:kern w:val="0"/>
          <w:sz w:val="21"/>
          <w:szCs w:val="24"/>
        </w:rPr>
        <w:t>针对性的康复</w:t>
      </w:r>
      <w:r>
        <w:rPr>
          <w:rFonts w:hint="eastAsia" w:ascii="Times New Roman" w:hAnsi="Times New Roman" w:eastAsia="宋体"/>
          <w:i w:val="0"/>
          <w:iCs w:val="0"/>
          <w:color w:val="auto"/>
          <w:kern w:val="0"/>
          <w:sz w:val="21"/>
          <w:szCs w:val="24"/>
          <w:lang w:val="en-US" w:eastAsia="zh-CN"/>
        </w:rPr>
        <w:t>训练</w:t>
      </w:r>
      <w:r>
        <w:rPr>
          <w:rFonts w:hint="eastAsia" w:ascii="Times New Roman" w:hAnsi="Times New Roman" w:eastAsia="宋体"/>
          <w:i w:val="0"/>
          <w:iCs w:val="0"/>
          <w:color w:val="auto"/>
          <w:kern w:val="0"/>
          <w:sz w:val="21"/>
          <w:szCs w:val="24"/>
        </w:rPr>
        <w:t>提供</w:t>
      </w:r>
      <w:r>
        <w:rPr>
          <w:rFonts w:hint="eastAsia" w:ascii="Times New Roman" w:hAnsi="Times New Roman" w:eastAsia="宋体"/>
          <w:i w:val="0"/>
          <w:iCs w:val="0"/>
          <w:color w:val="auto"/>
          <w:kern w:val="0"/>
          <w:sz w:val="21"/>
          <w:szCs w:val="24"/>
          <w:lang w:val="en-US" w:eastAsia="zh-CN"/>
        </w:rPr>
        <w:t>了一些</w:t>
      </w:r>
      <w:r>
        <w:rPr>
          <w:rFonts w:hint="eastAsia" w:ascii="Times New Roman" w:hAnsi="Times New Roman" w:eastAsia="宋体"/>
          <w:i w:val="0"/>
          <w:iCs w:val="0"/>
          <w:color w:val="auto"/>
          <w:kern w:val="0"/>
          <w:sz w:val="21"/>
          <w:szCs w:val="24"/>
        </w:rPr>
        <w:t>见解。</w:t>
      </w:r>
    </w:p>
    <w:p w14:paraId="0E8EE131">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left"/>
        <w:rPr>
          <w:rFonts w:ascii="Times New Roman" w:hAnsi="Times New Roman" w:eastAsia="宋体"/>
          <w:color w:val="auto"/>
          <w:kern w:val="0"/>
          <w:sz w:val="21"/>
          <w:szCs w:val="24"/>
        </w:rPr>
      </w:pPr>
      <w:r>
        <w:rPr>
          <w:rFonts w:ascii="Times New Roman" w:hAnsi="Times New Roman" w:eastAsia="宋体"/>
          <w:color w:val="auto"/>
          <w:kern w:val="0"/>
          <w:sz w:val="21"/>
          <w:szCs w:val="24"/>
        </w:rPr>
        <w:t>这项研究中的一些局限性值得仔细考虑。首先，</w:t>
      </w:r>
      <w:r>
        <w:rPr>
          <w:rFonts w:hint="eastAsia" w:ascii="Times New Roman" w:hAnsi="Times New Roman" w:eastAsia="宋体"/>
          <w:color w:val="auto"/>
          <w:kern w:val="0"/>
          <w:sz w:val="21"/>
          <w:szCs w:val="24"/>
          <w:lang w:val="en-US" w:eastAsia="zh-CN"/>
        </w:rPr>
        <w:t>本研究</w:t>
      </w:r>
      <w:r>
        <w:rPr>
          <w:rFonts w:ascii="Times New Roman" w:hAnsi="Times New Roman" w:eastAsia="宋体"/>
          <w:color w:val="auto"/>
          <w:kern w:val="0"/>
          <w:sz w:val="21"/>
          <w:szCs w:val="24"/>
        </w:rPr>
        <w:t>只招募了少数脑卒中患者，这些数据不能代表所有的卒中患者。其次，</w:t>
      </w:r>
      <w:r>
        <w:rPr>
          <w:rFonts w:hint="eastAsia" w:ascii="Times New Roman" w:hAnsi="Times New Roman" w:eastAsia="宋体"/>
          <w:color w:val="auto"/>
          <w:kern w:val="0"/>
          <w:sz w:val="21"/>
          <w:szCs w:val="24"/>
          <w:lang w:val="en-US" w:eastAsia="zh-CN"/>
        </w:rPr>
        <w:t>本研究</w:t>
      </w:r>
      <w:r>
        <w:rPr>
          <w:rFonts w:hint="eastAsia" w:ascii="Times New Roman" w:hAnsi="Times New Roman" w:eastAsia="宋体"/>
          <w:color w:val="auto"/>
          <w:kern w:val="0"/>
          <w:sz w:val="21"/>
          <w:szCs w:val="24"/>
        </w:rPr>
        <w:t>没有区分左侧偏瘫和右侧偏瘫的患者，研究证实，脑卒中后患者的步态模式因瘫痪侧而异。第三，</w:t>
      </w:r>
      <w:r>
        <w:rPr>
          <w:rFonts w:ascii="Times New Roman" w:hAnsi="Times New Roman" w:eastAsia="宋体"/>
          <w:color w:val="auto"/>
          <w:kern w:val="0"/>
          <w:sz w:val="21"/>
          <w:szCs w:val="24"/>
        </w:rPr>
        <w:t>这项研究没有分析骨盆周围带相关肌肉的肌力及肌张力。</w:t>
      </w:r>
      <w:r>
        <w:rPr>
          <w:rFonts w:hint="eastAsia" w:ascii="Times New Roman" w:hAnsi="Times New Roman" w:eastAsia="宋体"/>
          <w:color w:val="auto"/>
          <w:kern w:val="0"/>
          <w:sz w:val="21"/>
          <w:szCs w:val="24"/>
        </w:rPr>
        <w:t>最后</w:t>
      </w:r>
      <w:r>
        <w:rPr>
          <w:rFonts w:ascii="Times New Roman" w:hAnsi="Times New Roman" w:eastAsia="宋体"/>
          <w:color w:val="auto"/>
          <w:kern w:val="0"/>
          <w:sz w:val="21"/>
          <w:szCs w:val="24"/>
        </w:rPr>
        <w:t>，这项研究中没有结合步态参数，如行走速度、步幅、步宽和步长等。</w:t>
      </w:r>
    </w:p>
    <w:p w14:paraId="41060FBD">
      <w:pPr>
        <w:keepNext w:val="0"/>
        <w:keepLines w:val="0"/>
        <w:pageBreakBefore w:val="0"/>
        <w:kinsoku/>
        <w:wordWrap/>
        <w:overflowPunct/>
        <w:topLinePunct w:val="0"/>
        <w:autoSpaceDE/>
        <w:autoSpaceDN/>
        <w:bidi w:val="0"/>
        <w:adjustRightInd/>
        <w:snapToGrid/>
        <w:spacing w:beforeAutospacing="0" w:afterAutospacing="0" w:line="360" w:lineRule="auto"/>
        <w:ind w:firstLine="420" w:firstLineChars="200"/>
        <w:rPr>
          <w:rFonts w:ascii="Times New Roman" w:hAnsi="Times New Roman" w:eastAsia="宋体"/>
          <w:color w:val="auto"/>
          <w:kern w:val="0"/>
          <w:sz w:val="21"/>
          <w:szCs w:val="24"/>
        </w:rPr>
      </w:pPr>
      <w:r>
        <w:rPr>
          <w:rFonts w:hint="eastAsia" w:ascii="Times New Roman" w:hAnsi="Times New Roman" w:eastAsia="宋体"/>
          <w:color w:val="auto"/>
          <w:kern w:val="0"/>
          <w:sz w:val="21"/>
          <w:szCs w:val="24"/>
          <w:lang w:val="en-US" w:eastAsia="zh-CN"/>
        </w:rPr>
        <w:t>综上</w:t>
      </w:r>
      <w:r>
        <w:rPr>
          <w:rFonts w:hint="eastAsia"/>
          <w:color w:val="auto"/>
          <w:kern w:val="0"/>
          <w:sz w:val="21"/>
          <w:szCs w:val="24"/>
          <w:lang w:val="en-US" w:eastAsia="zh-CN"/>
        </w:rPr>
        <w:t>所述</w:t>
      </w:r>
      <w:r>
        <w:rPr>
          <w:rFonts w:hint="eastAsia" w:ascii="Times New Roman" w:hAnsi="Times New Roman" w:eastAsia="宋体"/>
          <w:color w:val="auto"/>
          <w:kern w:val="0"/>
          <w:sz w:val="21"/>
          <w:szCs w:val="24"/>
          <w:lang w:val="en-US" w:eastAsia="zh-CN"/>
        </w:rPr>
        <w:t>，</w:t>
      </w:r>
      <w:r>
        <w:rPr>
          <w:rFonts w:ascii="Times New Roman" w:hAnsi="Times New Roman" w:eastAsia="宋体"/>
          <w:color w:val="auto"/>
          <w:kern w:val="0"/>
          <w:sz w:val="21"/>
          <w:szCs w:val="24"/>
        </w:rPr>
        <w:t>脑卒中患者步行周期中骨盆偏瘫侧前倾和侧倾的幅度、步行初期前后倾斜ROM以及步行末期前倾的变化值均与非偏瘫侧呈不对称改变。</w:t>
      </w:r>
      <w:r>
        <w:rPr>
          <w:rFonts w:ascii="Times New Roman" w:hAnsi="Times New Roman" w:eastAsia="宋体"/>
          <w:color w:val="auto"/>
          <w:kern w:val="0"/>
          <w:sz w:val="21"/>
          <w:szCs w:val="24"/>
          <w:highlight w:val="none"/>
        </w:rPr>
        <w:t>连续步行中，偏瘫侧骨盆</w:t>
      </w:r>
      <w:r>
        <w:rPr>
          <w:rFonts w:hint="eastAsia" w:ascii="Times New Roman" w:hAnsi="Times New Roman" w:eastAsia="宋体"/>
          <w:color w:val="auto"/>
          <w:kern w:val="0"/>
          <w:sz w:val="21"/>
          <w:szCs w:val="24"/>
          <w:highlight w:val="none"/>
          <w:lang w:val="en-US" w:eastAsia="zh-CN"/>
        </w:rPr>
        <w:t>前倾</w:t>
      </w:r>
      <w:r>
        <w:rPr>
          <w:rFonts w:ascii="Times New Roman" w:hAnsi="Times New Roman" w:eastAsia="宋体"/>
          <w:color w:val="auto"/>
          <w:kern w:val="0"/>
          <w:sz w:val="21"/>
          <w:szCs w:val="24"/>
          <w:highlight w:val="none"/>
        </w:rPr>
        <w:t>、</w:t>
      </w:r>
      <w:r>
        <w:rPr>
          <w:rFonts w:hint="eastAsia" w:ascii="Times New Roman" w:hAnsi="Times New Roman" w:eastAsia="宋体"/>
          <w:color w:val="auto"/>
          <w:kern w:val="0"/>
          <w:sz w:val="21"/>
          <w:szCs w:val="24"/>
          <w:highlight w:val="none"/>
          <w:lang w:val="en-US" w:eastAsia="zh-CN"/>
        </w:rPr>
        <w:t>前后倾斜ROM及</w:t>
      </w:r>
      <w:r>
        <w:rPr>
          <w:rFonts w:ascii="Times New Roman" w:hAnsi="Times New Roman" w:eastAsia="宋体"/>
          <w:color w:val="auto"/>
          <w:kern w:val="0"/>
          <w:sz w:val="21"/>
          <w:szCs w:val="24"/>
          <w:highlight w:val="none"/>
        </w:rPr>
        <w:t>旋</w:t>
      </w:r>
      <w:r>
        <w:rPr>
          <w:rFonts w:hint="eastAsia" w:ascii="Times New Roman" w:hAnsi="Times New Roman" w:eastAsia="宋体"/>
          <w:color w:val="auto"/>
          <w:kern w:val="0"/>
          <w:sz w:val="21"/>
          <w:szCs w:val="24"/>
          <w:highlight w:val="none"/>
          <w:lang w:val="en-US" w:eastAsia="zh-CN"/>
        </w:rPr>
        <w:t>内</w:t>
      </w:r>
      <w:r>
        <w:rPr>
          <w:rFonts w:ascii="Times New Roman" w:hAnsi="Times New Roman" w:eastAsia="宋体"/>
          <w:color w:val="auto"/>
          <w:kern w:val="0"/>
          <w:sz w:val="21"/>
          <w:szCs w:val="24"/>
          <w:highlight w:val="none"/>
        </w:rPr>
        <w:t>均呈渐进变化趋势，而非偏瘫侧骨盆未见</w:t>
      </w:r>
      <w:r>
        <w:rPr>
          <w:rFonts w:hint="eastAsia" w:ascii="Times New Roman" w:hAnsi="Times New Roman" w:eastAsia="宋体"/>
          <w:color w:val="auto"/>
          <w:kern w:val="0"/>
          <w:sz w:val="21"/>
          <w:szCs w:val="24"/>
          <w:highlight w:val="none"/>
          <w:lang w:val="en-US" w:eastAsia="zh-CN"/>
        </w:rPr>
        <w:t>渐进变化趋势，呈不</w:t>
      </w:r>
      <w:r>
        <w:rPr>
          <w:rFonts w:ascii="Times New Roman" w:hAnsi="Times New Roman" w:eastAsia="宋体"/>
          <w:color w:val="auto"/>
          <w:kern w:val="0"/>
          <w:sz w:val="21"/>
          <w:szCs w:val="24"/>
          <w:highlight w:val="none"/>
        </w:rPr>
        <w:t>对称性改变。连续步行中步行</w:t>
      </w:r>
      <w:r>
        <w:rPr>
          <w:rFonts w:ascii="Times New Roman" w:hAnsi="Times New Roman" w:eastAsia="宋体"/>
          <w:color w:val="auto"/>
          <w:kern w:val="0"/>
          <w:sz w:val="21"/>
          <w:szCs w:val="24"/>
        </w:rPr>
        <w:t>能力差的患者骨盆不对称改变更显著。</w:t>
      </w:r>
      <w:r>
        <w:rPr>
          <w:rFonts w:hint="eastAsia" w:ascii="Times New Roman" w:hAnsi="Times New Roman" w:eastAsia="宋体"/>
          <w:color w:val="auto"/>
          <w:kern w:val="0"/>
          <w:sz w:val="21"/>
          <w:szCs w:val="24"/>
        </w:rPr>
        <w:t>在为脑卒中偏瘫患者</w:t>
      </w:r>
      <w:r>
        <w:rPr>
          <w:rFonts w:hint="eastAsia" w:ascii="Times New Roman" w:hAnsi="Times New Roman" w:eastAsia="宋体"/>
          <w:color w:val="auto"/>
          <w:kern w:val="0"/>
          <w:sz w:val="21"/>
          <w:szCs w:val="24"/>
          <w:lang w:val="en-US" w:eastAsia="zh-CN"/>
        </w:rPr>
        <w:t>制定</w:t>
      </w:r>
      <w:r>
        <w:rPr>
          <w:rFonts w:hint="eastAsia" w:ascii="Times New Roman" w:hAnsi="Times New Roman" w:eastAsia="宋体"/>
          <w:color w:val="auto"/>
          <w:kern w:val="0"/>
          <w:sz w:val="21"/>
          <w:szCs w:val="24"/>
        </w:rPr>
        <w:t>康复训练计划时，应考虑骨盆的不对称现象，根据步行能力的不同，实施有针对性的康复训练。</w:t>
      </w:r>
    </w:p>
    <w:p w14:paraId="20969DDA">
      <w:pPr>
        <w:keepNext w:val="0"/>
        <w:keepLines w:val="0"/>
        <w:pageBreakBefore w:val="0"/>
        <w:kinsoku/>
        <w:wordWrap/>
        <w:overflowPunct/>
        <w:topLinePunct w:val="0"/>
        <w:autoSpaceDE/>
        <w:autoSpaceDN/>
        <w:bidi w:val="0"/>
        <w:adjustRightInd/>
        <w:snapToGrid/>
        <w:spacing w:beforeAutospacing="0" w:afterAutospacing="0" w:line="360" w:lineRule="auto"/>
        <w:jc w:val="left"/>
        <w:rPr>
          <w:rFonts w:ascii="Times New Roman" w:hAnsi="Times New Roman" w:eastAsia="宋体"/>
          <w:color w:val="auto"/>
          <w:sz w:val="21"/>
          <w:szCs w:val="24"/>
        </w:rPr>
      </w:pPr>
      <w:r>
        <w:rPr>
          <w:rFonts w:ascii="Times New Roman" w:hAnsi="Times New Roman" w:eastAsia="宋体"/>
          <w:color w:val="auto"/>
          <w:sz w:val="21"/>
          <w:szCs w:val="24"/>
        </w:rPr>
        <w:fldChar w:fldCharType="begin"/>
      </w:r>
      <w:r>
        <w:rPr>
          <w:rFonts w:hint="eastAsia" w:ascii="Times New Roman" w:hAnsi="Times New Roman" w:eastAsia="宋体"/>
          <w:color w:val="auto"/>
          <w:sz w:val="21"/>
          <w:szCs w:val="24"/>
        </w:rPr>
        <w:instrText xml:space="preserve"> ADDIN NE.Bib</w:instrText>
      </w:r>
      <w:r>
        <w:rPr>
          <w:rFonts w:ascii="Times New Roman" w:hAnsi="Times New Roman" w:eastAsia="宋体"/>
          <w:color w:val="auto"/>
          <w:sz w:val="21"/>
          <w:szCs w:val="24"/>
        </w:rPr>
        <w:fldChar w:fldCharType="separate"/>
      </w:r>
    </w:p>
    <w:p w14:paraId="4D328604">
      <w:pPr>
        <w:keepNext w:val="0"/>
        <w:keepLines w:val="0"/>
        <w:pageBreakBefore w:val="0"/>
        <w:kinsoku/>
        <w:wordWrap/>
        <w:overflowPunct/>
        <w:topLinePunct w:val="0"/>
        <w:autoSpaceDE/>
        <w:autoSpaceDN/>
        <w:bidi w:val="0"/>
        <w:adjustRightInd/>
        <w:snapToGrid/>
        <w:spacing w:beforeAutospacing="0" w:afterAutospacing="0" w:line="360" w:lineRule="auto"/>
        <w:jc w:val="center"/>
        <w:rPr>
          <w:rFonts w:ascii="Times New Roman" w:hAnsi="Times New Roman" w:eastAsia="宋体"/>
          <w:color w:val="auto"/>
          <w:sz w:val="21"/>
          <w:szCs w:val="24"/>
        </w:rPr>
      </w:pPr>
      <w:r>
        <w:rPr>
          <w:rFonts w:hint="eastAsia" w:ascii="Times New Roman" w:hAnsi="Times New Roman" w:eastAsia="宋体"/>
          <w:b/>
          <w:color w:val="auto"/>
          <w:sz w:val="21"/>
          <w:szCs w:val="24"/>
        </w:rPr>
        <w:t>参考文献</w:t>
      </w:r>
    </w:p>
    <w:p w14:paraId="264C2EC8">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B</w:t>
      </w:r>
      <w:r>
        <w:rPr>
          <w:rFonts w:ascii="Times New Roman" w:hAnsi="Times New Roman" w:eastAsia="宋体"/>
          <w:color w:val="auto"/>
          <w:sz w:val="21"/>
          <w:szCs w:val="24"/>
        </w:rPr>
        <w:t>elda</w:t>
      </w:r>
      <w:r>
        <w:rPr>
          <w:rFonts w:ascii="Times New Roman" w:hAnsi="Times New Roman" w:eastAsia="宋体"/>
          <w:caps w:val="0"/>
          <w:color w:val="auto"/>
          <w:sz w:val="21"/>
          <w:szCs w:val="24"/>
        </w:rPr>
        <w:t>-L</w:t>
      </w:r>
      <w:r>
        <w:rPr>
          <w:rFonts w:ascii="Times New Roman" w:hAnsi="Times New Roman" w:eastAsia="宋体"/>
          <w:color w:val="auto"/>
          <w:sz w:val="21"/>
          <w:szCs w:val="24"/>
        </w:rPr>
        <w:t>ois</w:t>
      </w:r>
      <w:r>
        <w:rPr>
          <w:rFonts w:ascii="Times New Roman" w:hAnsi="Times New Roman" w:eastAsia="宋体"/>
          <w:caps w:val="0"/>
          <w:color w:val="auto"/>
          <w:sz w:val="21"/>
          <w:szCs w:val="24"/>
        </w:rPr>
        <w:t xml:space="preserve"> J</w:t>
      </w:r>
      <w:r>
        <w:rPr>
          <w:rFonts w:hint="eastAsia" w:ascii="Times New Roman" w:hAnsi="Times New Roman" w:eastAsia="宋体"/>
          <w:caps w:val="0"/>
          <w:color w:val="auto"/>
          <w:sz w:val="21"/>
          <w:szCs w:val="24"/>
          <w:lang w:val="en-US" w:eastAsia="zh-CN"/>
        </w:rPr>
        <w:t>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M</w:t>
      </w:r>
      <w:r>
        <w:rPr>
          <w:rFonts w:ascii="Times New Roman" w:hAnsi="Times New Roman" w:eastAsia="宋体"/>
          <w:color w:val="auto"/>
          <w:sz w:val="21"/>
          <w:szCs w:val="24"/>
        </w:rPr>
        <w:t>ena</w:t>
      </w:r>
      <w:r>
        <w:rPr>
          <w:rFonts w:ascii="Times New Roman" w:hAnsi="Times New Roman" w:eastAsia="宋体"/>
          <w:caps w:val="0"/>
          <w:color w:val="auto"/>
          <w:sz w:val="21"/>
          <w:szCs w:val="24"/>
        </w:rPr>
        <w:t>-d</w:t>
      </w:r>
      <w:r>
        <w:rPr>
          <w:rFonts w:ascii="Times New Roman" w:hAnsi="Times New Roman" w:eastAsia="宋体"/>
          <w:color w:val="auto"/>
          <w:sz w:val="21"/>
          <w:szCs w:val="24"/>
        </w:rPr>
        <w:t>el</w:t>
      </w:r>
      <w:r>
        <w:rPr>
          <w:rFonts w:ascii="Times New Roman" w:hAnsi="Times New Roman" w:eastAsia="宋体"/>
          <w:caps w:val="0"/>
          <w:color w:val="auto"/>
          <w:sz w:val="21"/>
          <w:szCs w:val="24"/>
        </w:rPr>
        <w:t xml:space="preserve"> H</w:t>
      </w:r>
      <w:r>
        <w:rPr>
          <w:rFonts w:ascii="Times New Roman" w:hAnsi="Times New Roman" w:eastAsia="宋体"/>
          <w:color w:val="auto"/>
          <w:sz w:val="21"/>
          <w:szCs w:val="24"/>
        </w:rPr>
        <w:t>orno</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ermejo</w:t>
      </w:r>
      <w:r>
        <w:rPr>
          <w:rFonts w:ascii="Times New Roman" w:hAnsi="Times New Roman" w:eastAsia="宋体"/>
          <w:caps w:val="0"/>
          <w:color w:val="auto"/>
          <w:sz w:val="21"/>
          <w:szCs w:val="24"/>
        </w:rPr>
        <w:t>-B</w:t>
      </w:r>
      <w:r>
        <w:rPr>
          <w:rFonts w:ascii="Times New Roman" w:hAnsi="Times New Roman" w:eastAsia="宋体"/>
          <w:color w:val="auto"/>
          <w:sz w:val="21"/>
          <w:szCs w:val="24"/>
        </w:rPr>
        <w:t>osch</w:t>
      </w:r>
      <w:r>
        <w:rPr>
          <w:rFonts w:ascii="Times New Roman" w:hAnsi="Times New Roman" w:eastAsia="宋体"/>
          <w:caps w:val="0"/>
          <w:color w:val="auto"/>
          <w:sz w:val="21"/>
          <w:szCs w:val="24"/>
        </w:rPr>
        <w:t xml:space="preserve"> I</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Rehabilitation of gait after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areview towards a top-down approach</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[J]</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J Neuroeng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6</w:t>
      </w:r>
      <w:r>
        <w:rPr>
          <w:rFonts w:hint="eastAsia" w:ascii="Times New Roman" w:hAnsi="Times New Roman" w:eastAsia="宋体"/>
          <w:color w:val="auto"/>
          <w:sz w:val="21"/>
          <w:szCs w:val="24"/>
          <w:lang w:eastAsia="zh-CN"/>
        </w:rPr>
        <w:t>6.</w:t>
      </w:r>
      <w:bookmarkStart w:id="0" w:name="refAllLogic973"/>
      <w:bookmarkEnd w:id="0"/>
      <w:bookmarkStart w:id="1" w:name="bRPindex973"/>
      <w:bookmarkEnd w:id="1"/>
    </w:p>
    <w:p w14:paraId="53AB74A3">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F</w:t>
      </w:r>
      <w:r>
        <w:rPr>
          <w:rFonts w:ascii="Times New Roman" w:hAnsi="Times New Roman" w:eastAsia="宋体"/>
          <w:color w:val="auto"/>
          <w:sz w:val="21"/>
          <w:szCs w:val="24"/>
        </w:rPr>
        <w:t>lansbjer</w:t>
      </w:r>
      <w:r>
        <w:rPr>
          <w:rFonts w:ascii="Times New Roman" w:hAnsi="Times New Roman" w:eastAsia="宋体"/>
          <w:caps w:val="0"/>
          <w:color w:val="auto"/>
          <w:sz w:val="21"/>
          <w:szCs w:val="24"/>
        </w:rPr>
        <w:t xml:space="preserve"> U</w:t>
      </w:r>
      <w:r>
        <w:rPr>
          <w:rFonts w:hint="eastAsia" w:ascii="Times New Roman" w:hAnsi="Times New Roman" w:eastAsia="宋体"/>
          <w:caps w:val="0"/>
          <w:color w:val="auto"/>
          <w:sz w:val="21"/>
          <w:szCs w:val="24"/>
          <w:lang w:val="en-US" w:eastAsia="zh-CN"/>
        </w:rPr>
        <w:t>B</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olmback</w:t>
      </w:r>
      <w:r>
        <w:rPr>
          <w:rFonts w:ascii="Times New Roman" w:hAnsi="Times New Roman" w:eastAsia="宋体"/>
          <w:caps w:val="0"/>
          <w:color w:val="auto"/>
          <w:sz w:val="21"/>
          <w:szCs w:val="24"/>
        </w:rPr>
        <w:t xml:space="preserve"> </w:t>
      </w:r>
      <w:r>
        <w:rPr>
          <w:rFonts w:hint="eastAsia" w:ascii="Times New Roman" w:hAnsi="Times New Roman" w:eastAsia="宋体"/>
          <w:caps w:val="0"/>
          <w:color w:val="auto"/>
          <w:sz w:val="21"/>
          <w:szCs w:val="24"/>
        </w:rPr>
        <w:t>AM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ownham</w:t>
      </w:r>
      <w:r>
        <w:rPr>
          <w:rFonts w:ascii="Times New Roman" w:hAnsi="Times New Roman" w:eastAsia="宋体"/>
          <w:caps w:val="0"/>
          <w:color w:val="auto"/>
          <w:sz w:val="21"/>
          <w:szCs w:val="24"/>
        </w:rPr>
        <w:t xml:space="preserve"> D</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Reliability of gait performance tests in men and women with hemiparesis after 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Rehabil Med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2005</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37</w:t>
      </w:r>
      <w:r>
        <w:rPr>
          <w:rFonts w:hint="eastAsia"/>
          <w:color w:val="auto"/>
          <w:sz w:val="21"/>
          <w:szCs w:val="24"/>
          <w:lang w:eastAsia="zh-CN"/>
        </w:rPr>
        <w:t>(</w:t>
      </w:r>
      <w:r>
        <w:rPr>
          <w:rFonts w:ascii="Times New Roman" w:hAnsi="Times New Roman" w:eastAsia="宋体"/>
          <w:color w:val="auto"/>
          <w:sz w:val="21"/>
          <w:szCs w:val="24"/>
        </w:rPr>
        <w:t>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75-8</w:t>
      </w:r>
      <w:r>
        <w:rPr>
          <w:rFonts w:hint="eastAsia" w:ascii="Times New Roman" w:hAnsi="Times New Roman" w:eastAsia="宋体"/>
          <w:color w:val="auto"/>
          <w:sz w:val="21"/>
          <w:szCs w:val="24"/>
          <w:lang w:eastAsia="zh-CN"/>
        </w:rPr>
        <w:t>2.</w:t>
      </w:r>
      <w:bookmarkStart w:id="2" w:name="refAllLogic974"/>
      <w:bookmarkEnd w:id="2"/>
      <w:bookmarkStart w:id="3" w:name="bRPindex974"/>
      <w:bookmarkEnd w:id="3"/>
    </w:p>
    <w:p w14:paraId="73A68414">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val="en-US" w:eastAsia="zh-CN"/>
        </w:rPr>
      </w:pPr>
      <w:r>
        <w:rPr>
          <w:rFonts w:ascii="Times New Roman" w:hAnsi="Times New Roman" w:eastAsia="宋体"/>
          <w:color w:val="auto"/>
          <w:sz w:val="21"/>
          <w:szCs w:val="24"/>
        </w:rPr>
        <w:t>3</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D</w:t>
      </w:r>
      <w:r>
        <w:rPr>
          <w:rFonts w:ascii="Times New Roman" w:hAnsi="Times New Roman" w:eastAsia="宋体"/>
          <w:color w:val="auto"/>
          <w:sz w:val="21"/>
          <w:szCs w:val="24"/>
        </w:rPr>
        <w:t>os</w:t>
      </w:r>
      <w:r>
        <w:rPr>
          <w:rFonts w:ascii="Times New Roman" w:hAnsi="Times New Roman" w:eastAsia="宋体"/>
          <w:caps w:val="0"/>
          <w:color w:val="auto"/>
          <w:sz w:val="21"/>
          <w:szCs w:val="24"/>
        </w:rPr>
        <w:t xml:space="preserve"> S</w:t>
      </w:r>
      <w:r>
        <w:rPr>
          <w:rFonts w:ascii="Times New Roman" w:hAnsi="Times New Roman" w:eastAsia="宋体"/>
          <w:color w:val="auto"/>
          <w:sz w:val="21"/>
          <w:szCs w:val="24"/>
        </w:rPr>
        <w:t>antos</w:t>
      </w:r>
      <w:r>
        <w:rPr>
          <w:rFonts w:ascii="Times New Roman" w:hAnsi="Times New Roman" w:eastAsia="宋体"/>
          <w:caps w:val="0"/>
          <w:color w:val="auto"/>
          <w:sz w:val="21"/>
          <w:szCs w:val="24"/>
        </w:rPr>
        <w:t xml:space="preserve"> </w:t>
      </w:r>
      <w:r>
        <w:rPr>
          <w:rFonts w:hint="eastAsia" w:ascii="Times New Roman" w:hAnsi="Times New Roman" w:eastAsia="宋体"/>
          <w:caps w:val="0"/>
          <w:color w:val="auto"/>
          <w:sz w:val="21"/>
          <w:szCs w:val="24"/>
        </w:rPr>
        <w:t>HM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e</w:t>
      </w:r>
      <w:r>
        <w:rPr>
          <w:rFonts w:ascii="Times New Roman" w:hAnsi="Times New Roman" w:eastAsia="宋体"/>
          <w:caps w:val="0"/>
          <w:color w:val="auto"/>
          <w:sz w:val="21"/>
          <w:szCs w:val="24"/>
        </w:rPr>
        <w:t xml:space="preserve"> O</w:t>
      </w:r>
      <w:r>
        <w:rPr>
          <w:rFonts w:ascii="Times New Roman" w:hAnsi="Times New Roman" w:eastAsia="宋体"/>
          <w:color w:val="auto"/>
          <w:sz w:val="21"/>
          <w:szCs w:val="24"/>
        </w:rPr>
        <w:t>liveira</w:t>
      </w:r>
      <w:r>
        <w:rPr>
          <w:rFonts w:ascii="Times New Roman" w:hAnsi="Times New Roman" w:eastAsia="宋体"/>
          <w:caps w:val="0"/>
          <w:color w:val="auto"/>
          <w:sz w:val="21"/>
          <w:szCs w:val="24"/>
        </w:rPr>
        <w:t xml:space="preserve"> LC</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onifacio</w:t>
      </w:r>
      <w:r>
        <w:rPr>
          <w:rFonts w:ascii="Times New Roman" w:hAnsi="Times New Roman" w:eastAsia="宋体"/>
          <w:caps w:val="0"/>
          <w:color w:val="auto"/>
          <w:sz w:val="21"/>
          <w:szCs w:val="24"/>
        </w:rPr>
        <w:t xml:space="preserve"> SR</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Use of the International Classification of Functioning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Disability and Health</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ICF)</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to expand and standardize the assessment of quality-of-life following a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proposal for the use of codes and qualifiers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Disabil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44</w:t>
      </w:r>
      <w:r>
        <w:rPr>
          <w:rFonts w:hint="eastAsia"/>
          <w:color w:val="auto"/>
          <w:sz w:val="21"/>
          <w:szCs w:val="24"/>
          <w:lang w:eastAsia="zh-CN"/>
        </w:rPr>
        <w:t>(</w:t>
      </w:r>
      <w:r>
        <w:rPr>
          <w:rFonts w:ascii="Times New Roman" w:hAnsi="Times New Roman" w:eastAsia="宋体"/>
          <w:color w:val="auto"/>
          <w:sz w:val="21"/>
          <w:szCs w:val="24"/>
        </w:rPr>
        <w:t>24)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7449-745</w:t>
      </w:r>
      <w:r>
        <w:rPr>
          <w:rFonts w:hint="eastAsia" w:ascii="Times New Roman" w:hAnsi="Times New Roman" w:eastAsia="宋体"/>
          <w:color w:val="auto"/>
          <w:sz w:val="21"/>
          <w:szCs w:val="24"/>
          <w:lang w:eastAsia="zh-CN"/>
        </w:rPr>
        <w:t>4.</w:t>
      </w:r>
      <w:r>
        <w:rPr>
          <w:rFonts w:hint="eastAsia" w:ascii="Times New Roman" w:hAnsi="Times New Roman" w:eastAsia="宋体"/>
          <w:color w:val="auto"/>
          <w:sz w:val="21"/>
          <w:szCs w:val="24"/>
          <w:lang w:val="en-US" w:eastAsia="zh-CN"/>
        </w:rPr>
        <w:t xml:space="preserve"> </w:t>
      </w:r>
      <w:bookmarkStart w:id="4" w:name="bRPindex975"/>
      <w:bookmarkEnd w:id="4"/>
      <w:bookmarkStart w:id="5" w:name="refAllLogic975"/>
      <w:bookmarkEnd w:id="5"/>
    </w:p>
    <w:p w14:paraId="5625DE90">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4</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M</w:t>
      </w:r>
      <w:r>
        <w:rPr>
          <w:rFonts w:ascii="Times New Roman" w:hAnsi="Times New Roman" w:eastAsia="宋体"/>
          <w:color w:val="auto"/>
          <w:sz w:val="21"/>
          <w:szCs w:val="24"/>
        </w:rPr>
        <w:t>artins</w:t>
      </w:r>
      <w:r>
        <w:rPr>
          <w:rFonts w:ascii="Times New Roman" w:hAnsi="Times New Roman" w:eastAsia="宋体"/>
          <w:caps w:val="0"/>
          <w:color w:val="auto"/>
          <w:sz w:val="21"/>
          <w:szCs w:val="24"/>
        </w:rPr>
        <w:t xml:space="preserve"> D</w:t>
      </w:r>
      <w:r>
        <w:rPr>
          <w:rFonts w:ascii="Times New Roman" w:hAnsi="Times New Roman" w:eastAsia="宋体"/>
          <w:color w:val="auto"/>
          <w:sz w:val="21"/>
          <w:szCs w:val="24"/>
        </w:rPr>
        <w:t>os</w:t>
      </w:r>
      <w:r>
        <w:rPr>
          <w:rFonts w:ascii="Times New Roman" w:hAnsi="Times New Roman" w:eastAsia="宋体"/>
          <w:caps w:val="0"/>
          <w:color w:val="auto"/>
          <w:sz w:val="21"/>
          <w:szCs w:val="24"/>
        </w:rPr>
        <w:t xml:space="preserve"> S</w:t>
      </w:r>
      <w:r>
        <w:rPr>
          <w:rFonts w:ascii="Times New Roman" w:hAnsi="Times New Roman" w:eastAsia="宋体"/>
          <w:color w:val="auto"/>
          <w:sz w:val="21"/>
          <w:szCs w:val="24"/>
        </w:rPr>
        <w:t xml:space="preserve">antos </w:t>
      </w:r>
      <w:r>
        <w:rPr>
          <w:rFonts w:ascii="Times New Roman" w:hAnsi="Times New Roman" w:eastAsia="宋体"/>
          <w:caps w:val="0"/>
          <w:color w:val="auto"/>
          <w:sz w:val="21"/>
          <w:szCs w:val="24"/>
        </w:rPr>
        <w:t>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P</w:t>
      </w:r>
      <w:r>
        <w:rPr>
          <w:rFonts w:ascii="Times New Roman" w:hAnsi="Times New Roman" w:eastAsia="宋体"/>
          <w:color w:val="auto"/>
          <w:sz w:val="21"/>
          <w:szCs w:val="24"/>
        </w:rPr>
        <w:t>ereira</w:t>
      </w:r>
      <w:r>
        <w:rPr>
          <w:rFonts w:ascii="Times New Roman" w:hAnsi="Times New Roman" w:eastAsia="宋体"/>
          <w:caps w:val="0"/>
          <w:color w:val="auto"/>
          <w:sz w:val="21"/>
          <w:szCs w:val="24"/>
        </w:rPr>
        <w:t xml:space="preserve"> GS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e</w:t>
      </w:r>
      <w:r>
        <w:rPr>
          <w:rFonts w:ascii="Times New Roman" w:hAnsi="Times New Roman" w:eastAsia="宋体"/>
          <w:caps w:val="0"/>
          <w:color w:val="auto"/>
          <w:sz w:val="21"/>
          <w:szCs w:val="24"/>
        </w:rPr>
        <w:t xml:space="preserve"> O</w:t>
      </w:r>
      <w:r>
        <w:rPr>
          <w:rFonts w:ascii="Times New Roman" w:hAnsi="Times New Roman" w:eastAsia="宋体"/>
          <w:color w:val="auto"/>
          <w:sz w:val="21"/>
          <w:szCs w:val="24"/>
        </w:rPr>
        <w:t>liveira L</w:t>
      </w:r>
      <w:r>
        <w:rPr>
          <w:rFonts w:ascii="Times New Roman" w:hAnsi="Times New Roman" w:eastAsia="宋体"/>
          <w:caps w:val="0"/>
          <w:color w:val="auto"/>
          <w:sz w:val="21"/>
          <w:szCs w:val="24"/>
        </w:rPr>
        <w:t>C</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Biopsychosocial factors associated with the state of disability after hemiparesis in the chronic phase of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exploratory analysis based on the International Classification of Functioning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Disability and Health</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Disabil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46</w:t>
      </w:r>
      <w:r>
        <w:rPr>
          <w:rFonts w:hint="eastAsia"/>
          <w:color w:val="auto"/>
          <w:sz w:val="21"/>
          <w:szCs w:val="24"/>
          <w:lang w:eastAsia="zh-CN"/>
        </w:rPr>
        <w:t>(</w:t>
      </w:r>
      <w:r>
        <w:rPr>
          <w:rFonts w:ascii="Times New Roman" w:hAnsi="Times New Roman" w:eastAsia="宋体"/>
          <w:color w:val="auto"/>
          <w:sz w:val="21"/>
          <w:szCs w:val="24"/>
        </w:rPr>
        <w:t>7)</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1366-137</w:t>
      </w:r>
      <w:r>
        <w:rPr>
          <w:rFonts w:hint="eastAsia" w:ascii="Times New Roman" w:hAnsi="Times New Roman" w:eastAsia="宋体"/>
          <w:color w:val="auto"/>
          <w:sz w:val="21"/>
          <w:szCs w:val="24"/>
          <w:lang w:eastAsia="zh-CN"/>
        </w:rPr>
        <w:t>3.</w:t>
      </w:r>
      <w:bookmarkStart w:id="6" w:name="bRPindex976"/>
      <w:bookmarkEnd w:id="6"/>
      <w:bookmarkStart w:id="7" w:name="refAllLogic976"/>
      <w:bookmarkEnd w:id="7"/>
    </w:p>
    <w:p w14:paraId="05D8185A">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5</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R</w:t>
      </w:r>
      <w:r>
        <w:rPr>
          <w:rFonts w:ascii="Times New Roman" w:hAnsi="Times New Roman" w:eastAsia="宋体"/>
          <w:color w:val="auto"/>
          <w:sz w:val="21"/>
          <w:szCs w:val="24"/>
        </w:rPr>
        <w:t>ozanski</w:t>
      </w:r>
      <w:r>
        <w:rPr>
          <w:rFonts w:ascii="Times New Roman" w:hAnsi="Times New Roman" w:eastAsia="宋体"/>
          <w:caps w:val="0"/>
          <w:color w:val="auto"/>
          <w:sz w:val="21"/>
          <w:szCs w:val="24"/>
        </w:rPr>
        <w:t xml:space="preserve"> GM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untley</w:t>
      </w:r>
      <w:r>
        <w:rPr>
          <w:rFonts w:ascii="Times New Roman" w:hAnsi="Times New Roman" w:eastAsia="宋体"/>
          <w:caps w:val="0"/>
          <w:color w:val="auto"/>
          <w:sz w:val="21"/>
          <w:szCs w:val="24"/>
        </w:rPr>
        <w:t xml:space="preserve"> AH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C</w:t>
      </w:r>
      <w:r>
        <w:rPr>
          <w:rFonts w:ascii="Times New Roman" w:hAnsi="Times New Roman" w:eastAsia="宋体"/>
          <w:color w:val="auto"/>
          <w:sz w:val="21"/>
          <w:szCs w:val="24"/>
        </w:rPr>
        <w:t>rosby</w:t>
      </w:r>
      <w:r>
        <w:rPr>
          <w:rFonts w:ascii="Times New Roman" w:hAnsi="Times New Roman" w:eastAsia="宋体"/>
          <w:caps w:val="0"/>
          <w:color w:val="auto"/>
          <w:sz w:val="21"/>
          <w:szCs w:val="24"/>
        </w:rPr>
        <w:t xml:space="preserve"> LD</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Lower limb muscle activity underlying temporal gait asymmetry post-stroke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Clin Neurophysiol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131</w:t>
      </w:r>
      <w:r>
        <w:rPr>
          <w:rFonts w:hint="eastAsia"/>
          <w:color w:val="auto"/>
          <w:sz w:val="21"/>
          <w:szCs w:val="24"/>
          <w:lang w:eastAsia="zh-CN"/>
        </w:rPr>
        <w:t>(</w:t>
      </w: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1848-185</w:t>
      </w:r>
      <w:r>
        <w:rPr>
          <w:rFonts w:hint="eastAsia" w:ascii="Times New Roman" w:hAnsi="Times New Roman" w:eastAsia="宋体"/>
          <w:color w:val="auto"/>
          <w:sz w:val="21"/>
          <w:szCs w:val="24"/>
          <w:lang w:eastAsia="zh-CN"/>
        </w:rPr>
        <w:t>8.</w:t>
      </w:r>
      <w:bookmarkStart w:id="8" w:name="bRPindex977"/>
      <w:bookmarkEnd w:id="8"/>
      <w:bookmarkStart w:id="9" w:name="refAllLogic977"/>
      <w:bookmarkEnd w:id="9"/>
    </w:p>
    <w:p w14:paraId="4E2AE69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6</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L</w:t>
      </w:r>
      <w:r>
        <w:rPr>
          <w:rFonts w:ascii="Times New Roman" w:hAnsi="Times New Roman" w:eastAsia="宋体"/>
          <w:color w:val="auto"/>
          <w:sz w:val="21"/>
          <w:szCs w:val="24"/>
        </w:rPr>
        <w:t>ee</w:t>
      </w:r>
      <w:r>
        <w:rPr>
          <w:rFonts w:ascii="Times New Roman" w:hAnsi="Times New Roman" w:eastAsia="宋体"/>
          <w:caps w:val="0"/>
          <w:color w:val="auto"/>
          <w:sz w:val="21"/>
          <w:szCs w:val="24"/>
        </w:rPr>
        <w:t xml:space="preserve"> Y</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K</w:t>
      </w:r>
      <w:r>
        <w:rPr>
          <w:rFonts w:ascii="Times New Roman" w:hAnsi="Times New Roman" w:eastAsia="宋体"/>
          <w:color w:val="auto"/>
          <w:sz w:val="21"/>
          <w:szCs w:val="24"/>
        </w:rPr>
        <w:t>im</w:t>
      </w:r>
      <w:r>
        <w:rPr>
          <w:rFonts w:ascii="Times New Roman" w:hAnsi="Times New Roman" w:eastAsia="宋体"/>
          <w:caps w:val="0"/>
          <w:color w:val="auto"/>
          <w:sz w:val="21"/>
          <w:szCs w:val="24"/>
        </w:rPr>
        <w:t xml:space="preserve"> GB</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hin</w:t>
      </w:r>
      <w:r>
        <w:rPr>
          <w:rFonts w:ascii="Times New Roman" w:hAnsi="Times New Roman" w:eastAsia="宋体"/>
          <w:caps w:val="0"/>
          <w:color w:val="auto"/>
          <w:sz w:val="21"/>
          <w:szCs w:val="24"/>
        </w:rPr>
        <w:t xml:space="preserve"> 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Association between lower limb strength asymmetry and gait asymmetry</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implications for gait variability in stroke survivors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Clin Med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2025</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14</w:t>
      </w:r>
      <w:r>
        <w:rPr>
          <w:rFonts w:hint="eastAsia"/>
          <w:color w:val="auto"/>
          <w:sz w:val="21"/>
          <w:szCs w:val="24"/>
          <w:lang w:eastAsia="zh-CN"/>
        </w:rPr>
        <w:t>(</w:t>
      </w:r>
      <w:r>
        <w:rPr>
          <w:rFonts w:ascii="Times New Roman" w:hAnsi="Times New Roman" w:eastAsia="宋体"/>
          <w:color w:val="auto"/>
          <w:sz w:val="21"/>
          <w:szCs w:val="24"/>
        </w:rPr>
        <w:t>2)</w:t>
      </w:r>
      <w:r>
        <w:rPr>
          <w:rFonts w:hint="eastAsia" w:ascii="Times New Roman" w:hAnsi="Times New Roman" w:eastAsia="宋体"/>
          <w:color w:val="auto"/>
          <w:sz w:val="21"/>
          <w:szCs w:val="24"/>
          <w:lang w:val="en-US" w:eastAsia="zh-CN"/>
        </w:rPr>
        <w:t>: 380</w:t>
      </w:r>
      <w:r>
        <w:rPr>
          <w:rFonts w:hint="eastAsia" w:ascii="Times New Roman" w:hAnsi="Times New Roman" w:eastAsia="宋体"/>
          <w:color w:val="auto"/>
          <w:sz w:val="21"/>
          <w:szCs w:val="24"/>
          <w:lang w:eastAsia="zh-CN"/>
        </w:rPr>
        <w:t xml:space="preserve">. </w:t>
      </w:r>
      <w:bookmarkStart w:id="10" w:name="bRPindex978"/>
      <w:bookmarkEnd w:id="10"/>
      <w:bookmarkStart w:id="11" w:name="refAllLogic978"/>
      <w:bookmarkEnd w:id="11"/>
    </w:p>
    <w:p w14:paraId="5EDD545F">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7</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P</w:t>
      </w:r>
      <w:r>
        <w:rPr>
          <w:rFonts w:ascii="Times New Roman" w:hAnsi="Times New Roman" w:eastAsia="宋体"/>
          <w:color w:val="auto"/>
          <w:sz w:val="21"/>
          <w:szCs w:val="24"/>
        </w:rPr>
        <w:t>ark</w:t>
      </w:r>
      <w:r>
        <w:rPr>
          <w:rFonts w:ascii="Times New Roman" w:hAnsi="Times New Roman" w:eastAsia="宋体"/>
          <w:caps w:val="0"/>
          <w:color w:val="auto"/>
          <w:sz w:val="21"/>
          <w:szCs w:val="24"/>
        </w:rPr>
        <w:t xml:space="preserve"> J</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an</w:t>
      </w:r>
      <w:r>
        <w:rPr>
          <w:rFonts w:ascii="Times New Roman" w:hAnsi="Times New Roman" w:eastAsia="宋体"/>
          <w:caps w:val="0"/>
          <w:color w:val="auto"/>
          <w:sz w:val="21"/>
          <w:szCs w:val="24"/>
        </w:rPr>
        <w:t xml:space="preserve"> K</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Quantifying gait asymmetry in stroke patients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statistical parametric mapping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SPM)</w:t>
      </w:r>
      <w:r>
        <w:rPr>
          <w:rFonts w:hint="eastAsia" w:ascii="Times New Roman" w:hAnsi="Times New Roman" w:eastAsia="宋体"/>
          <w:color w:val="auto"/>
          <w:sz w:val="21"/>
          <w:szCs w:val="24"/>
          <w:lang w:val="en-US" w:eastAsia="zh-CN"/>
        </w:rPr>
        <w:t xml:space="preserve"> a</w:t>
      </w:r>
      <w:r>
        <w:rPr>
          <w:rFonts w:ascii="Times New Roman" w:hAnsi="Times New Roman" w:eastAsia="宋体"/>
          <w:color w:val="auto"/>
          <w:sz w:val="21"/>
          <w:szCs w:val="24"/>
        </w:rPr>
        <w:t>pproach</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Med Sci Monit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2025</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e94675</w:t>
      </w:r>
      <w:r>
        <w:rPr>
          <w:rFonts w:hint="eastAsia" w:ascii="Times New Roman" w:hAnsi="Times New Roman" w:eastAsia="宋体"/>
          <w:color w:val="auto"/>
          <w:sz w:val="21"/>
          <w:szCs w:val="24"/>
          <w:lang w:eastAsia="zh-CN"/>
        </w:rPr>
        <w:t>4.</w:t>
      </w:r>
      <w:bookmarkStart w:id="12" w:name="refAllLogic979"/>
      <w:bookmarkEnd w:id="12"/>
      <w:bookmarkStart w:id="13" w:name="bRPindex979"/>
      <w:bookmarkEnd w:id="13"/>
    </w:p>
    <w:p w14:paraId="6BFAA3B7">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L</w:t>
      </w:r>
      <w:r>
        <w:rPr>
          <w:rFonts w:ascii="Times New Roman" w:hAnsi="Times New Roman" w:eastAsia="宋体"/>
          <w:color w:val="auto"/>
          <w:sz w:val="21"/>
          <w:szCs w:val="24"/>
        </w:rPr>
        <w:t>ewek</w:t>
      </w:r>
      <w:r>
        <w:rPr>
          <w:rFonts w:ascii="Times New Roman" w:hAnsi="Times New Roman" w:eastAsia="宋体"/>
          <w:caps w:val="0"/>
          <w:color w:val="auto"/>
          <w:sz w:val="21"/>
          <w:szCs w:val="24"/>
        </w:rPr>
        <w:t xml:space="preserve"> MD</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radley</w:t>
      </w:r>
      <w:r>
        <w:rPr>
          <w:rFonts w:ascii="Times New Roman" w:hAnsi="Times New Roman" w:eastAsia="宋体"/>
          <w:caps w:val="0"/>
          <w:color w:val="auto"/>
          <w:sz w:val="21"/>
          <w:szCs w:val="24"/>
        </w:rPr>
        <w:t xml:space="preserve"> CE</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W</w:t>
      </w:r>
      <w:r>
        <w:rPr>
          <w:rFonts w:ascii="Times New Roman" w:hAnsi="Times New Roman" w:eastAsia="宋体"/>
          <w:color w:val="auto"/>
          <w:sz w:val="21"/>
          <w:szCs w:val="24"/>
        </w:rPr>
        <w:t>utzke</w:t>
      </w:r>
      <w:r>
        <w:rPr>
          <w:rFonts w:ascii="Times New Roman" w:hAnsi="Times New Roman" w:eastAsia="宋体"/>
          <w:caps w:val="0"/>
          <w:color w:val="auto"/>
          <w:sz w:val="21"/>
          <w:szCs w:val="24"/>
        </w:rPr>
        <w:t xml:space="preserve"> CJ</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relationship between spatiotemporal gait asymmetry and balance in individuals with chronic 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Appl Biomech</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30</w:t>
      </w:r>
      <w:r>
        <w:rPr>
          <w:rFonts w:hint="eastAsia"/>
          <w:color w:val="auto"/>
          <w:sz w:val="21"/>
          <w:szCs w:val="24"/>
          <w:lang w:eastAsia="zh-CN"/>
        </w:rPr>
        <w:t>(</w:t>
      </w:r>
      <w:r>
        <w:rPr>
          <w:rFonts w:ascii="Times New Roman" w:hAnsi="Times New Roman" w:eastAsia="宋体"/>
          <w:color w:val="auto"/>
          <w:sz w:val="21"/>
          <w:szCs w:val="24"/>
        </w:rPr>
        <w:t>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31-3</w:t>
      </w:r>
      <w:r>
        <w:rPr>
          <w:rFonts w:hint="eastAsia" w:ascii="Times New Roman" w:hAnsi="Times New Roman" w:eastAsia="宋体"/>
          <w:color w:val="auto"/>
          <w:sz w:val="21"/>
          <w:szCs w:val="24"/>
          <w:lang w:eastAsia="zh-CN"/>
        </w:rPr>
        <w:t>6.</w:t>
      </w:r>
      <w:bookmarkStart w:id="14" w:name="refAllLogic980"/>
      <w:bookmarkEnd w:id="14"/>
      <w:bookmarkStart w:id="15" w:name="bRPindex980"/>
      <w:bookmarkEnd w:id="15"/>
    </w:p>
    <w:p w14:paraId="09679035">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9</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J</w:t>
      </w:r>
      <w:r>
        <w:rPr>
          <w:rFonts w:ascii="Times New Roman" w:hAnsi="Times New Roman" w:eastAsia="宋体"/>
          <w:color w:val="auto"/>
          <w:sz w:val="21"/>
          <w:szCs w:val="24"/>
        </w:rPr>
        <w:t xml:space="preserve">ohnson </w:t>
      </w:r>
      <w:r>
        <w:rPr>
          <w:rFonts w:ascii="Times New Roman" w:hAnsi="Times New Roman" w:eastAsia="宋体"/>
          <w:caps w:val="0"/>
          <w:color w:val="auto"/>
          <w:sz w:val="21"/>
          <w:szCs w:val="24"/>
        </w:rPr>
        <w:t>RT</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ianco</w:t>
      </w:r>
      <w:r>
        <w:rPr>
          <w:rFonts w:ascii="Times New Roman" w:hAnsi="Times New Roman" w:eastAsia="宋体"/>
          <w:caps w:val="0"/>
          <w:color w:val="auto"/>
          <w:sz w:val="21"/>
          <w:szCs w:val="24"/>
        </w:rPr>
        <w:t xml:space="preserve"> NA</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F</w:t>
      </w:r>
      <w:r>
        <w:rPr>
          <w:rFonts w:ascii="Times New Roman" w:hAnsi="Times New Roman" w:eastAsia="宋体"/>
          <w:color w:val="auto"/>
          <w:sz w:val="21"/>
          <w:szCs w:val="24"/>
        </w:rPr>
        <w:t>inley</w:t>
      </w:r>
      <w:r>
        <w:rPr>
          <w:rFonts w:ascii="Times New Roman" w:hAnsi="Times New Roman" w:eastAsia="宋体"/>
          <w:caps w:val="0"/>
          <w:color w:val="auto"/>
          <w:sz w:val="21"/>
          <w:szCs w:val="24"/>
        </w:rPr>
        <w:t xml:space="preserve"> JM</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Patterns of asymmetry and energy cost generated from predictive simulations of hemiparetic gait</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PLoS Comput Biol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18</w:t>
      </w:r>
      <w:r>
        <w:rPr>
          <w:rFonts w:hint="eastAsia"/>
          <w:color w:val="auto"/>
          <w:sz w:val="21"/>
          <w:szCs w:val="24"/>
          <w:lang w:eastAsia="zh-CN"/>
        </w:rPr>
        <w:t>(</w:t>
      </w:r>
      <w:r>
        <w:rPr>
          <w:rFonts w:ascii="Times New Roman" w:hAnsi="Times New Roman" w:eastAsia="宋体"/>
          <w:color w:val="auto"/>
          <w:sz w:val="21"/>
          <w:szCs w:val="24"/>
        </w:rPr>
        <w:t>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e101046</w:t>
      </w:r>
      <w:r>
        <w:rPr>
          <w:rFonts w:hint="eastAsia" w:ascii="Times New Roman" w:hAnsi="Times New Roman" w:eastAsia="宋体"/>
          <w:color w:val="auto"/>
          <w:sz w:val="21"/>
          <w:szCs w:val="24"/>
          <w:lang w:eastAsia="zh-CN"/>
        </w:rPr>
        <w:t>6.</w:t>
      </w:r>
      <w:bookmarkStart w:id="16" w:name="bRPindex981"/>
      <w:bookmarkEnd w:id="16"/>
      <w:bookmarkStart w:id="17" w:name="refAllLogic981"/>
      <w:bookmarkEnd w:id="17"/>
    </w:p>
    <w:p w14:paraId="6513E3F2">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10</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N</w:t>
      </w:r>
      <w:r>
        <w:rPr>
          <w:rFonts w:ascii="Times New Roman" w:hAnsi="Times New Roman" w:eastAsia="宋体"/>
          <w:color w:val="auto"/>
          <w:sz w:val="21"/>
          <w:szCs w:val="24"/>
        </w:rPr>
        <w:t>orvell</w:t>
      </w:r>
      <w:r>
        <w:rPr>
          <w:rFonts w:ascii="Times New Roman" w:hAnsi="Times New Roman" w:eastAsia="宋体"/>
          <w:caps w:val="0"/>
          <w:color w:val="auto"/>
          <w:sz w:val="21"/>
          <w:szCs w:val="24"/>
        </w:rPr>
        <w:t xml:space="preserve"> DC</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C</w:t>
      </w:r>
      <w:r>
        <w:rPr>
          <w:rFonts w:ascii="Times New Roman" w:hAnsi="Times New Roman" w:eastAsia="宋体"/>
          <w:color w:val="auto"/>
          <w:sz w:val="21"/>
          <w:szCs w:val="24"/>
        </w:rPr>
        <w:t>zerniecki</w:t>
      </w:r>
      <w:r>
        <w:rPr>
          <w:rFonts w:ascii="Times New Roman" w:hAnsi="Times New Roman" w:eastAsia="宋体"/>
          <w:caps w:val="0"/>
          <w:color w:val="auto"/>
          <w:sz w:val="21"/>
          <w:szCs w:val="24"/>
        </w:rPr>
        <w:t xml:space="preserve"> JM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R</w:t>
      </w:r>
      <w:r>
        <w:rPr>
          <w:rFonts w:ascii="Times New Roman" w:hAnsi="Times New Roman" w:eastAsia="宋体"/>
          <w:color w:val="auto"/>
          <w:sz w:val="21"/>
          <w:szCs w:val="24"/>
        </w:rPr>
        <w:t>eiber</w:t>
      </w:r>
      <w:r>
        <w:rPr>
          <w:rFonts w:ascii="Times New Roman" w:hAnsi="Times New Roman" w:eastAsia="宋体"/>
          <w:caps w:val="0"/>
          <w:color w:val="auto"/>
          <w:sz w:val="21"/>
          <w:szCs w:val="24"/>
        </w:rPr>
        <w:t xml:space="preserve"> GE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prevalence of knee pain and symptomatic knee osteoarthritis among veteran traumatic amputees and nonamputees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Arch Phys Med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2005</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86</w:t>
      </w:r>
      <w:r>
        <w:rPr>
          <w:rFonts w:hint="eastAsia"/>
          <w:color w:val="auto"/>
          <w:sz w:val="21"/>
          <w:szCs w:val="24"/>
          <w:lang w:eastAsia="zh-CN"/>
        </w:rPr>
        <w:t>(</w:t>
      </w:r>
      <w:r>
        <w:rPr>
          <w:rFonts w:ascii="Times New Roman" w:hAnsi="Times New Roman" w:eastAsia="宋体"/>
          <w:color w:val="auto"/>
          <w:sz w:val="21"/>
          <w:szCs w:val="24"/>
        </w:rPr>
        <w:t>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487-49</w:t>
      </w:r>
      <w:r>
        <w:rPr>
          <w:rFonts w:hint="eastAsia" w:ascii="Times New Roman" w:hAnsi="Times New Roman" w:eastAsia="宋体"/>
          <w:color w:val="auto"/>
          <w:sz w:val="21"/>
          <w:szCs w:val="24"/>
          <w:lang w:eastAsia="zh-CN"/>
        </w:rPr>
        <w:t>3.</w:t>
      </w:r>
      <w:bookmarkStart w:id="18" w:name="refAllLogic982"/>
      <w:bookmarkEnd w:id="18"/>
      <w:bookmarkStart w:id="19" w:name="bRPindex982"/>
      <w:bookmarkEnd w:id="19"/>
    </w:p>
    <w:p w14:paraId="471C9893">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11</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M</w:t>
      </w:r>
      <w:r>
        <w:rPr>
          <w:rFonts w:ascii="Times New Roman" w:hAnsi="Times New Roman" w:eastAsia="宋体"/>
          <w:color w:val="auto"/>
          <w:sz w:val="21"/>
          <w:szCs w:val="24"/>
        </w:rPr>
        <w:t>ichael</w:t>
      </w:r>
      <w:r>
        <w:rPr>
          <w:rFonts w:ascii="Times New Roman" w:hAnsi="Times New Roman" w:eastAsia="宋体"/>
          <w:caps w:val="0"/>
          <w:color w:val="auto"/>
          <w:sz w:val="21"/>
          <w:szCs w:val="24"/>
        </w:rPr>
        <w:t xml:space="preserve"> KM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A</w:t>
      </w:r>
      <w:r>
        <w:rPr>
          <w:rFonts w:ascii="Times New Roman" w:hAnsi="Times New Roman" w:eastAsia="宋体"/>
          <w:color w:val="auto"/>
          <w:sz w:val="21"/>
          <w:szCs w:val="24"/>
        </w:rPr>
        <w:t>llen</w:t>
      </w:r>
      <w:r>
        <w:rPr>
          <w:rFonts w:ascii="Times New Roman" w:hAnsi="Times New Roman" w:eastAsia="宋体"/>
          <w:caps w:val="0"/>
          <w:color w:val="auto"/>
          <w:sz w:val="21"/>
          <w:szCs w:val="24"/>
        </w:rPr>
        <w:t xml:space="preserve"> JK</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M</w:t>
      </w:r>
      <w:r>
        <w:rPr>
          <w:rFonts w:ascii="Times New Roman" w:hAnsi="Times New Roman" w:eastAsia="宋体"/>
          <w:color w:val="auto"/>
          <w:sz w:val="21"/>
          <w:szCs w:val="24"/>
        </w:rPr>
        <w:t>acko</w:t>
      </w:r>
      <w:r>
        <w:rPr>
          <w:rFonts w:ascii="Times New Roman" w:hAnsi="Times New Roman" w:eastAsia="宋体"/>
          <w:caps w:val="0"/>
          <w:color w:val="auto"/>
          <w:sz w:val="21"/>
          <w:szCs w:val="24"/>
        </w:rPr>
        <w:t xml:space="preserve"> RF</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Reduced ambulatory activity after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role of balance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gait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and cardiovascular fitness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Arch Phys Med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2005</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86</w:t>
      </w:r>
      <w:r>
        <w:rPr>
          <w:rFonts w:hint="eastAsia"/>
          <w:color w:val="auto"/>
          <w:sz w:val="21"/>
          <w:szCs w:val="24"/>
          <w:lang w:eastAsia="zh-CN"/>
        </w:rPr>
        <w:t>(</w:t>
      </w: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1552-155</w:t>
      </w:r>
      <w:r>
        <w:rPr>
          <w:rFonts w:hint="eastAsia" w:ascii="Times New Roman" w:hAnsi="Times New Roman" w:eastAsia="宋体"/>
          <w:color w:val="auto"/>
          <w:sz w:val="21"/>
          <w:szCs w:val="24"/>
          <w:lang w:eastAsia="zh-CN"/>
        </w:rPr>
        <w:t>6.</w:t>
      </w:r>
      <w:bookmarkStart w:id="20" w:name="bRPindex983"/>
      <w:bookmarkEnd w:id="20"/>
      <w:bookmarkStart w:id="21" w:name="refAllLogic983"/>
      <w:bookmarkEnd w:id="21"/>
    </w:p>
    <w:p w14:paraId="2F161B31">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12</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W</w:t>
      </w:r>
      <w:r>
        <w:rPr>
          <w:rFonts w:ascii="Times New Roman" w:hAnsi="Times New Roman" w:eastAsia="宋体"/>
          <w:color w:val="auto"/>
          <w:sz w:val="21"/>
          <w:szCs w:val="24"/>
        </w:rPr>
        <w:t>ang</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hatt</w:t>
      </w:r>
      <w:r>
        <w:rPr>
          <w:rFonts w:ascii="Times New Roman" w:hAnsi="Times New Roman" w:eastAsia="宋体"/>
          <w:caps w:val="0"/>
          <w:color w:val="auto"/>
          <w:sz w:val="21"/>
          <w:szCs w:val="24"/>
        </w:rPr>
        <w:t xml:space="preserve"> 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Gait kinematics and asymmetries affecting fall risk in people with chronic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retrospective study</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Biomechanics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Basel)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w:t>
      </w:r>
      <w:r>
        <w:rPr>
          <w:rFonts w:hint="eastAsia"/>
          <w:color w:val="auto"/>
          <w:sz w:val="21"/>
          <w:szCs w:val="24"/>
          <w:lang w:eastAsia="zh-CN"/>
        </w:rPr>
        <w:t>(</w:t>
      </w:r>
      <w:r>
        <w:rPr>
          <w:rFonts w:ascii="Times New Roman" w:hAnsi="Times New Roman" w:eastAsia="宋体"/>
          <w:color w:val="auto"/>
          <w:sz w:val="21"/>
          <w:szCs w:val="24"/>
        </w:rPr>
        <w:t>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453-46</w:t>
      </w:r>
      <w:r>
        <w:rPr>
          <w:rFonts w:hint="eastAsia" w:ascii="Times New Roman" w:hAnsi="Times New Roman" w:eastAsia="宋体"/>
          <w:color w:val="auto"/>
          <w:sz w:val="21"/>
          <w:szCs w:val="24"/>
          <w:lang w:eastAsia="zh-CN"/>
        </w:rPr>
        <w:t>5.</w:t>
      </w:r>
      <w:bookmarkStart w:id="22" w:name="refAllLogic984"/>
      <w:bookmarkEnd w:id="22"/>
    </w:p>
    <w:p w14:paraId="7E1DEDD4">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13</w:t>
      </w:r>
      <w:bookmarkStart w:id="23" w:name="_nebDEA9F70E_2FD6_42D2_B286_7D314D111671"/>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O</w:t>
      </w:r>
      <w:r>
        <w:rPr>
          <w:rFonts w:ascii="Times New Roman" w:hAnsi="Times New Roman" w:eastAsia="宋体"/>
          <w:color w:val="auto"/>
          <w:sz w:val="21"/>
          <w:szCs w:val="24"/>
        </w:rPr>
        <w:t>gihara</w:t>
      </w:r>
      <w:r>
        <w:rPr>
          <w:rFonts w:ascii="Times New Roman" w:hAnsi="Times New Roman" w:eastAsia="宋体"/>
          <w:caps w:val="0"/>
          <w:color w:val="auto"/>
          <w:sz w:val="21"/>
          <w:szCs w:val="24"/>
        </w:rPr>
        <w:t xml:space="preserve"> 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T</w:t>
      </w:r>
      <w:r>
        <w:rPr>
          <w:rFonts w:ascii="Times New Roman" w:hAnsi="Times New Roman" w:eastAsia="宋体"/>
          <w:color w:val="auto"/>
          <w:sz w:val="21"/>
          <w:szCs w:val="24"/>
        </w:rPr>
        <w:t>sushima</w:t>
      </w:r>
      <w:r>
        <w:rPr>
          <w:rFonts w:ascii="Times New Roman" w:hAnsi="Times New Roman" w:eastAsia="宋体"/>
          <w:caps w:val="0"/>
          <w:color w:val="auto"/>
          <w:sz w:val="21"/>
          <w:szCs w:val="24"/>
        </w:rPr>
        <w:t xml:space="preserve"> E</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K</w:t>
      </w:r>
      <w:r>
        <w:rPr>
          <w:rFonts w:ascii="Times New Roman" w:hAnsi="Times New Roman" w:eastAsia="宋体"/>
          <w:color w:val="auto"/>
          <w:sz w:val="21"/>
          <w:szCs w:val="24"/>
        </w:rPr>
        <w:t>amo</w:t>
      </w:r>
      <w:r>
        <w:rPr>
          <w:rFonts w:ascii="Times New Roman" w:hAnsi="Times New Roman" w:eastAsia="宋体"/>
          <w:caps w:val="0"/>
          <w:color w:val="auto"/>
          <w:sz w:val="21"/>
          <w:szCs w:val="24"/>
        </w:rPr>
        <w:t xml:space="preserve"> T</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Kinematic gait asymmetry assessment using joint angle data in patients with chronic stroke-A normalized cross-correlation approach</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Gait Posture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80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168-17</w:t>
      </w:r>
      <w:bookmarkEnd w:id="23"/>
      <w:r>
        <w:rPr>
          <w:rFonts w:hint="eastAsia" w:ascii="Times New Roman" w:hAnsi="Times New Roman" w:eastAsia="宋体"/>
          <w:color w:val="auto"/>
          <w:sz w:val="21"/>
          <w:szCs w:val="24"/>
          <w:lang w:eastAsia="zh-CN"/>
        </w:rPr>
        <w:t>3.</w:t>
      </w:r>
      <w:bookmarkStart w:id="24" w:name="refAllLogic985"/>
      <w:bookmarkEnd w:id="24"/>
      <w:bookmarkStart w:id="25" w:name="bRPindex985"/>
      <w:bookmarkEnd w:id="25"/>
    </w:p>
    <w:p w14:paraId="5D39E5B6">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14</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K</w:t>
      </w:r>
      <w:r>
        <w:rPr>
          <w:rFonts w:ascii="Times New Roman" w:hAnsi="Times New Roman" w:eastAsia="宋体"/>
          <w:color w:val="auto"/>
          <w:sz w:val="21"/>
          <w:szCs w:val="24"/>
        </w:rPr>
        <w:t>arthikbabu</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C</w:t>
      </w:r>
      <w:r>
        <w:rPr>
          <w:rFonts w:ascii="Times New Roman" w:hAnsi="Times New Roman" w:eastAsia="宋体"/>
          <w:color w:val="auto"/>
          <w:sz w:val="21"/>
          <w:szCs w:val="24"/>
        </w:rPr>
        <w:t>hakrapani</w:t>
      </w:r>
      <w:r>
        <w:rPr>
          <w:rFonts w:ascii="Times New Roman" w:hAnsi="Times New Roman" w:eastAsia="宋体"/>
          <w:caps w:val="0"/>
          <w:color w:val="auto"/>
          <w:sz w:val="21"/>
          <w:szCs w:val="24"/>
        </w:rPr>
        <w:t xml:space="preserve"> 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G</w:t>
      </w:r>
      <w:r>
        <w:rPr>
          <w:rFonts w:ascii="Times New Roman" w:hAnsi="Times New Roman" w:eastAsia="宋体"/>
          <w:color w:val="auto"/>
          <w:sz w:val="21"/>
          <w:szCs w:val="24"/>
        </w:rPr>
        <w:t>anesan</w:t>
      </w:r>
      <w:r>
        <w:rPr>
          <w:rFonts w:ascii="Times New Roman" w:hAnsi="Times New Roman" w:eastAsia="宋体"/>
          <w:caps w:val="0"/>
          <w:color w:val="auto"/>
          <w:sz w:val="21"/>
          <w:szCs w:val="24"/>
        </w:rPr>
        <w:t xml:space="preserve"> 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Relationship between pelvic alignment and weight-bearing asymmetry in community-dwelling chronic stroke survivors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Neurosci Rural Pract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2016</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w:t>
      </w:r>
      <w:r>
        <w:rPr>
          <w:rFonts w:hint="eastAsia"/>
          <w:color w:val="auto"/>
          <w:sz w:val="21"/>
          <w:szCs w:val="24"/>
          <w:lang w:eastAsia="zh-CN"/>
        </w:rPr>
        <w:t>(</w:t>
      </w:r>
      <w:r>
        <w:rPr>
          <w:rFonts w:ascii="Times New Roman" w:hAnsi="Times New Roman" w:eastAsia="宋体"/>
          <w:color w:val="auto"/>
          <w:sz w:val="21"/>
          <w:szCs w:val="24"/>
        </w:rPr>
        <w:t>Suppl 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S37-S4</w:t>
      </w:r>
      <w:r>
        <w:rPr>
          <w:rFonts w:hint="eastAsia" w:ascii="Times New Roman" w:hAnsi="Times New Roman" w:eastAsia="宋体"/>
          <w:color w:val="auto"/>
          <w:sz w:val="21"/>
          <w:szCs w:val="24"/>
          <w:lang w:eastAsia="zh-CN"/>
        </w:rPr>
        <w:t>0.</w:t>
      </w:r>
      <w:bookmarkStart w:id="26" w:name="refAllLogic986"/>
      <w:bookmarkEnd w:id="26"/>
    </w:p>
    <w:p w14:paraId="112E4F2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15</w:t>
      </w:r>
      <w:bookmarkStart w:id="27" w:name="_nebB600FF05_8C8B_4E13_BEB9_B72A9640D5EF"/>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F</w:t>
      </w:r>
      <w:r>
        <w:rPr>
          <w:rFonts w:ascii="Times New Roman" w:hAnsi="Times New Roman" w:eastAsia="宋体"/>
          <w:color w:val="auto"/>
          <w:sz w:val="21"/>
          <w:szCs w:val="24"/>
        </w:rPr>
        <w:t>ukuchi</w:t>
      </w:r>
      <w:r>
        <w:rPr>
          <w:rFonts w:ascii="Times New Roman" w:hAnsi="Times New Roman" w:eastAsia="宋体"/>
          <w:caps w:val="0"/>
          <w:color w:val="auto"/>
          <w:sz w:val="21"/>
          <w:szCs w:val="24"/>
        </w:rPr>
        <w:t xml:space="preserve"> CA</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F</w:t>
      </w:r>
      <w:r>
        <w:rPr>
          <w:rFonts w:ascii="Times New Roman" w:hAnsi="Times New Roman" w:eastAsia="宋体"/>
          <w:color w:val="auto"/>
          <w:sz w:val="21"/>
          <w:szCs w:val="24"/>
        </w:rPr>
        <w:t>ukuchi</w:t>
      </w:r>
      <w:r>
        <w:rPr>
          <w:rFonts w:ascii="Times New Roman" w:hAnsi="Times New Roman" w:eastAsia="宋体"/>
          <w:caps w:val="0"/>
          <w:color w:val="auto"/>
          <w:sz w:val="21"/>
          <w:szCs w:val="24"/>
        </w:rPr>
        <w:t xml:space="preserve"> RK</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uarte</w:t>
      </w:r>
      <w:r>
        <w:rPr>
          <w:rFonts w:ascii="Times New Roman" w:hAnsi="Times New Roman" w:eastAsia="宋体"/>
          <w:caps w:val="0"/>
          <w:color w:val="auto"/>
          <w:sz w:val="21"/>
          <w:szCs w:val="24"/>
        </w:rPr>
        <w:t xml:space="preserve"> M</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public dataset of overground and treadmill walking kinematics and kinetics in healthy individuals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PeerJ</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6</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e464</w:t>
      </w:r>
      <w:bookmarkEnd w:id="27"/>
      <w:r>
        <w:rPr>
          <w:rFonts w:hint="eastAsia" w:ascii="Times New Roman" w:hAnsi="Times New Roman" w:eastAsia="宋体"/>
          <w:color w:val="auto"/>
          <w:sz w:val="21"/>
          <w:szCs w:val="24"/>
          <w:lang w:eastAsia="zh-CN"/>
        </w:rPr>
        <w:t>0.</w:t>
      </w:r>
      <w:bookmarkStart w:id="28" w:name="refAllLogic987"/>
      <w:bookmarkEnd w:id="28"/>
      <w:bookmarkStart w:id="29" w:name="bRPindex987"/>
      <w:bookmarkEnd w:id="29"/>
    </w:p>
    <w:p w14:paraId="389F9BC8">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16</w:t>
      </w:r>
      <w:bookmarkStart w:id="30" w:name="_neb8E05A1BD_48AE_45CD_B016_6432EE47C83A"/>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S</w:t>
      </w:r>
      <w:r>
        <w:rPr>
          <w:rFonts w:ascii="Times New Roman" w:hAnsi="Times New Roman" w:eastAsia="宋体"/>
          <w:color w:val="auto"/>
          <w:sz w:val="21"/>
          <w:szCs w:val="24"/>
        </w:rPr>
        <w:t>chmid</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B</w:t>
      </w:r>
      <w:r>
        <w:rPr>
          <w:rFonts w:ascii="Times New Roman" w:hAnsi="Times New Roman" w:eastAsia="宋体"/>
          <w:color w:val="auto"/>
          <w:sz w:val="21"/>
          <w:szCs w:val="24"/>
        </w:rPr>
        <w:t>ruhin</w:t>
      </w:r>
      <w:r>
        <w:rPr>
          <w:rFonts w:ascii="Times New Roman" w:hAnsi="Times New Roman" w:eastAsia="宋体"/>
          <w:caps w:val="0"/>
          <w:color w:val="auto"/>
          <w:sz w:val="21"/>
          <w:szCs w:val="24"/>
        </w:rPr>
        <w:t xml:space="preserve"> B</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I</w:t>
      </w:r>
      <w:r>
        <w:rPr>
          <w:rFonts w:ascii="Times New Roman" w:hAnsi="Times New Roman" w:eastAsia="宋体"/>
          <w:color w:val="auto"/>
          <w:sz w:val="21"/>
          <w:szCs w:val="24"/>
        </w:rPr>
        <w:t>gnasiak</w:t>
      </w:r>
      <w:r>
        <w:rPr>
          <w:rFonts w:ascii="Times New Roman" w:hAnsi="Times New Roman" w:eastAsia="宋体"/>
          <w:caps w:val="0"/>
          <w:color w:val="auto"/>
          <w:sz w:val="21"/>
          <w:szCs w:val="24"/>
        </w:rPr>
        <w:t xml:space="preserve"> 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Spinal kinematics during gait in healthy individuals across different age groups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Hum Mov Sci</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2017</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73-8</w:t>
      </w:r>
      <w:bookmarkEnd w:id="30"/>
      <w:r>
        <w:rPr>
          <w:rFonts w:hint="eastAsia" w:ascii="Times New Roman" w:hAnsi="Times New Roman" w:eastAsia="宋体"/>
          <w:color w:val="auto"/>
          <w:sz w:val="21"/>
          <w:szCs w:val="24"/>
          <w:lang w:eastAsia="zh-CN"/>
        </w:rPr>
        <w:t>1.</w:t>
      </w:r>
      <w:bookmarkStart w:id="31" w:name="refAllLogic988"/>
      <w:bookmarkEnd w:id="31"/>
      <w:bookmarkStart w:id="32" w:name="bRPindex988"/>
      <w:bookmarkEnd w:id="32"/>
    </w:p>
    <w:p w14:paraId="5E2810DC">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17</w:t>
      </w:r>
      <w:r>
        <w:rPr>
          <w:rFonts w:hint="eastAsia" w:ascii="Times New Roman" w:hAnsi="Times New Roman" w:eastAsia="宋体"/>
          <w:color w:val="auto"/>
          <w:sz w:val="21"/>
          <w:szCs w:val="24"/>
          <w:lang w:eastAsia="zh-CN"/>
        </w:rPr>
        <w:tab/>
      </w:r>
      <w:r>
        <w:rPr>
          <w:rFonts w:ascii="Times New Roman" w:hAnsi="Times New Roman" w:eastAsia="宋体"/>
          <w:color w:val="auto"/>
          <w:sz w:val="21"/>
          <w:szCs w:val="24"/>
        </w:rPr>
        <w:t>S</w:t>
      </w:r>
      <w:r>
        <w:rPr>
          <w:rFonts w:hint="eastAsia" w:ascii="Times New Roman" w:hAnsi="Times New Roman" w:eastAsia="宋体"/>
          <w:color w:val="auto"/>
          <w:sz w:val="21"/>
          <w:szCs w:val="24"/>
        </w:rPr>
        <w:t xml:space="preserve">aunders </w:t>
      </w:r>
      <w:r>
        <w:rPr>
          <w:rFonts w:ascii="Times New Roman" w:hAnsi="Times New Roman" w:eastAsia="宋体"/>
          <w:color w:val="auto"/>
          <w:sz w:val="21"/>
          <w:szCs w:val="24"/>
        </w:rPr>
        <w:t>JB</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I</w:t>
      </w:r>
      <w:r>
        <w:rPr>
          <w:rFonts w:hint="eastAsia" w:ascii="Times New Roman" w:hAnsi="Times New Roman" w:eastAsia="宋体"/>
          <w:color w:val="auto"/>
          <w:sz w:val="21"/>
          <w:szCs w:val="24"/>
        </w:rPr>
        <w:t>nman</w:t>
      </w:r>
      <w:r>
        <w:rPr>
          <w:rFonts w:ascii="Times New Roman" w:hAnsi="Times New Roman" w:eastAsia="宋体"/>
          <w:color w:val="auto"/>
          <w:sz w:val="21"/>
          <w:szCs w:val="24"/>
        </w:rPr>
        <w:t xml:space="preserve"> VT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w:t>
      </w:r>
      <w:r>
        <w:rPr>
          <w:rFonts w:hint="eastAsia" w:ascii="Times New Roman" w:hAnsi="Times New Roman" w:eastAsia="宋体"/>
          <w:color w:val="auto"/>
          <w:sz w:val="21"/>
          <w:szCs w:val="24"/>
        </w:rPr>
        <w:t xml:space="preserve">berhart </w:t>
      </w:r>
      <w:r>
        <w:rPr>
          <w:rFonts w:ascii="Times New Roman" w:hAnsi="Times New Roman" w:eastAsia="宋体"/>
          <w:color w:val="auto"/>
          <w:sz w:val="21"/>
          <w:szCs w:val="24"/>
        </w:rPr>
        <w:t>HD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major determinants in normal and pathological gait</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Bone Joint Surg Am</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1953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35-A</w:t>
      </w:r>
      <w:r>
        <w:rPr>
          <w:rFonts w:hint="eastAsia"/>
          <w:color w:val="auto"/>
          <w:sz w:val="21"/>
          <w:szCs w:val="24"/>
          <w:lang w:eastAsia="zh-CN"/>
        </w:rPr>
        <w:t>(</w:t>
      </w:r>
      <w:r>
        <w:rPr>
          <w:rFonts w:ascii="Times New Roman" w:hAnsi="Times New Roman" w:eastAsia="宋体"/>
          <w:color w:val="auto"/>
          <w:sz w:val="21"/>
          <w:szCs w:val="24"/>
        </w:rPr>
        <w:t>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543-55</w:t>
      </w:r>
      <w:r>
        <w:rPr>
          <w:rFonts w:hint="eastAsia" w:ascii="Times New Roman" w:hAnsi="Times New Roman" w:eastAsia="宋体"/>
          <w:color w:val="auto"/>
          <w:sz w:val="21"/>
          <w:szCs w:val="24"/>
          <w:lang w:eastAsia="zh-CN"/>
        </w:rPr>
        <w:t>8.</w:t>
      </w:r>
      <w:bookmarkStart w:id="33" w:name="refAllLogic989"/>
      <w:bookmarkEnd w:id="33"/>
      <w:bookmarkStart w:id="34" w:name="bRPindex989"/>
      <w:bookmarkEnd w:id="34"/>
    </w:p>
    <w:p w14:paraId="421BB385">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18</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M</w:t>
      </w:r>
      <w:r>
        <w:rPr>
          <w:rFonts w:ascii="Times New Roman" w:hAnsi="Times New Roman" w:eastAsia="宋体"/>
          <w:color w:val="auto"/>
          <w:sz w:val="21"/>
          <w:szCs w:val="24"/>
        </w:rPr>
        <w:t>un</w:t>
      </w:r>
      <w:r>
        <w:rPr>
          <w:rFonts w:ascii="Times New Roman" w:hAnsi="Times New Roman" w:eastAsia="宋体"/>
          <w:caps w:val="0"/>
          <w:color w:val="auto"/>
          <w:sz w:val="21"/>
          <w:szCs w:val="24"/>
        </w:rPr>
        <w:t xml:space="preserve"> K</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G</w:t>
      </w:r>
      <w:r>
        <w:rPr>
          <w:rFonts w:ascii="Times New Roman" w:hAnsi="Times New Roman" w:eastAsia="宋体"/>
          <w:color w:val="auto"/>
          <w:sz w:val="21"/>
          <w:szCs w:val="24"/>
        </w:rPr>
        <w:t>uo</w:t>
      </w:r>
      <w:r>
        <w:rPr>
          <w:rFonts w:ascii="Times New Roman" w:hAnsi="Times New Roman" w:eastAsia="宋体"/>
          <w:caps w:val="0"/>
          <w:color w:val="auto"/>
          <w:sz w:val="21"/>
          <w:szCs w:val="24"/>
        </w:rPr>
        <w:t xml:space="preserve"> Z</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Y</w:t>
      </w:r>
      <w:r>
        <w:rPr>
          <w:rFonts w:ascii="Times New Roman" w:hAnsi="Times New Roman" w:eastAsia="宋体"/>
          <w:color w:val="auto"/>
          <w:sz w:val="21"/>
          <w:szCs w:val="24"/>
        </w:rPr>
        <w:t>u</w:t>
      </w:r>
      <w:r>
        <w:rPr>
          <w:rFonts w:ascii="Times New Roman" w:hAnsi="Times New Roman" w:eastAsia="宋体"/>
          <w:caps w:val="0"/>
          <w:color w:val="auto"/>
          <w:sz w:val="21"/>
          <w:szCs w:val="24"/>
        </w:rPr>
        <w:t xml:space="preserve"> H</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Restriction of pelvic lateral and rotational motions alters lower limb kinematics and muscle activation pattern during over-ground walking</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Med Biol Eng Comput</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2016</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54</w:t>
      </w:r>
      <w:r>
        <w:rPr>
          <w:rFonts w:hint="eastAsia"/>
          <w:color w:val="auto"/>
          <w:sz w:val="21"/>
          <w:szCs w:val="24"/>
          <w:lang w:eastAsia="zh-CN"/>
        </w:rPr>
        <w:t>(</w:t>
      </w:r>
      <w:r>
        <w:rPr>
          <w:rFonts w:ascii="Times New Roman" w:hAnsi="Times New Roman" w:eastAsia="宋体"/>
          <w:color w:val="auto"/>
          <w:sz w:val="21"/>
          <w:szCs w:val="24"/>
        </w:rPr>
        <w:t>11)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1621-162</w:t>
      </w:r>
      <w:r>
        <w:rPr>
          <w:rFonts w:hint="eastAsia" w:ascii="Times New Roman" w:hAnsi="Times New Roman" w:eastAsia="宋体"/>
          <w:color w:val="auto"/>
          <w:sz w:val="21"/>
          <w:szCs w:val="24"/>
          <w:lang w:eastAsia="zh-CN"/>
        </w:rPr>
        <w:t>9.</w:t>
      </w:r>
      <w:bookmarkStart w:id="35" w:name="refAllLogic990"/>
      <w:bookmarkEnd w:id="35"/>
    </w:p>
    <w:p w14:paraId="3BC2C8DD">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19</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H</w:t>
      </w:r>
      <w:r>
        <w:rPr>
          <w:rFonts w:ascii="Times New Roman" w:hAnsi="Times New Roman" w:eastAsia="宋体"/>
          <w:color w:val="auto"/>
          <w:sz w:val="21"/>
          <w:szCs w:val="24"/>
        </w:rPr>
        <w:t>acmon</w:t>
      </w:r>
      <w:r>
        <w:rPr>
          <w:rFonts w:ascii="Times New Roman" w:hAnsi="Times New Roman" w:eastAsia="宋体"/>
          <w:caps w:val="0"/>
          <w:color w:val="auto"/>
          <w:sz w:val="21"/>
          <w:szCs w:val="24"/>
        </w:rPr>
        <w:t xml:space="preserve"> RR</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K</w:t>
      </w:r>
      <w:r>
        <w:rPr>
          <w:rFonts w:ascii="Times New Roman" w:hAnsi="Times New Roman" w:eastAsia="宋体"/>
          <w:color w:val="auto"/>
          <w:sz w:val="21"/>
          <w:szCs w:val="24"/>
        </w:rPr>
        <w:t>rasovsky</w:t>
      </w:r>
      <w:r>
        <w:rPr>
          <w:rFonts w:ascii="Times New Roman" w:hAnsi="Times New Roman" w:eastAsia="宋体"/>
          <w:caps w:val="0"/>
          <w:color w:val="auto"/>
          <w:sz w:val="21"/>
          <w:szCs w:val="24"/>
        </w:rPr>
        <w:t xml:space="preserve"> T</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amontagne</w:t>
      </w:r>
      <w:r>
        <w:rPr>
          <w:rFonts w:ascii="Times New Roman" w:hAnsi="Times New Roman" w:eastAsia="宋体"/>
          <w:caps w:val="0"/>
          <w:color w:val="auto"/>
          <w:sz w:val="21"/>
          <w:szCs w:val="24"/>
        </w:rPr>
        <w:t xml:space="preserve"> A</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Deficits in intersegmental trunk coordination during walking are related to clinical balance and gait function in chronic 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Neurol Phys Ther</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36</w:t>
      </w:r>
      <w:r>
        <w:rPr>
          <w:rFonts w:hint="eastAsia"/>
          <w:color w:val="auto"/>
          <w:sz w:val="21"/>
          <w:szCs w:val="24"/>
          <w:lang w:eastAsia="zh-CN"/>
        </w:rPr>
        <w:t>(</w:t>
      </w:r>
      <w:r>
        <w:rPr>
          <w:rFonts w:ascii="Times New Roman" w:hAnsi="Times New Roman" w:eastAsia="宋体"/>
          <w:color w:val="auto"/>
          <w:sz w:val="21"/>
          <w:szCs w:val="24"/>
        </w:rPr>
        <w:t>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173-18</w:t>
      </w:r>
      <w:r>
        <w:rPr>
          <w:rFonts w:hint="eastAsia" w:ascii="Times New Roman" w:hAnsi="Times New Roman" w:eastAsia="宋体"/>
          <w:color w:val="auto"/>
          <w:sz w:val="21"/>
          <w:szCs w:val="24"/>
          <w:lang w:eastAsia="zh-CN"/>
        </w:rPr>
        <w:t>1.</w:t>
      </w:r>
      <w:bookmarkStart w:id="36" w:name="refAllLogic991"/>
      <w:bookmarkEnd w:id="36"/>
      <w:bookmarkStart w:id="37" w:name="bRPindex991"/>
      <w:bookmarkEnd w:id="37"/>
    </w:p>
    <w:p w14:paraId="3AA08E11">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20</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C</w:t>
      </w:r>
      <w:r>
        <w:rPr>
          <w:rFonts w:ascii="Times New Roman" w:hAnsi="Times New Roman" w:eastAsia="宋体"/>
          <w:color w:val="auto"/>
          <w:sz w:val="21"/>
          <w:szCs w:val="24"/>
        </w:rPr>
        <w:t>ruz</w:t>
      </w:r>
      <w:r>
        <w:rPr>
          <w:rFonts w:ascii="Times New Roman" w:hAnsi="Times New Roman" w:eastAsia="宋体"/>
          <w:caps w:val="0"/>
          <w:color w:val="auto"/>
          <w:sz w:val="21"/>
          <w:szCs w:val="24"/>
        </w:rPr>
        <w:t xml:space="preserve"> TH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ewek</w:t>
      </w:r>
      <w:r>
        <w:rPr>
          <w:rFonts w:ascii="Times New Roman" w:hAnsi="Times New Roman" w:eastAsia="宋体"/>
          <w:caps w:val="0"/>
          <w:color w:val="auto"/>
          <w:sz w:val="21"/>
          <w:szCs w:val="24"/>
        </w:rPr>
        <w:t xml:space="preserve"> MD</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haher</w:t>
      </w:r>
      <w:r>
        <w:rPr>
          <w:rFonts w:ascii="Times New Roman" w:hAnsi="Times New Roman" w:eastAsia="宋体"/>
          <w:caps w:val="0"/>
          <w:color w:val="auto"/>
          <w:sz w:val="21"/>
          <w:szCs w:val="24"/>
        </w:rPr>
        <w:t xml:space="preserve"> YY</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Biomechanical impairments and gait adaptations post-stroke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multi-factorial associations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Biomech</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42</w:t>
      </w:r>
      <w:r>
        <w:rPr>
          <w:rFonts w:hint="eastAsia"/>
          <w:color w:val="auto"/>
          <w:sz w:val="21"/>
          <w:szCs w:val="24"/>
          <w:lang w:eastAsia="zh-CN"/>
        </w:rPr>
        <w:t>(</w:t>
      </w:r>
      <w:r>
        <w:rPr>
          <w:rFonts w:ascii="Times New Roman" w:hAnsi="Times New Roman" w:eastAsia="宋体"/>
          <w:color w:val="auto"/>
          <w:sz w:val="21"/>
          <w:szCs w:val="24"/>
        </w:rPr>
        <w:t>11)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1673-167</w:t>
      </w:r>
      <w:r>
        <w:rPr>
          <w:rFonts w:hint="eastAsia" w:ascii="Times New Roman" w:hAnsi="Times New Roman" w:eastAsia="宋体"/>
          <w:color w:val="auto"/>
          <w:sz w:val="21"/>
          <w:szCs w:val="24"/>
          <w:lang w:eastAsia="zh-CN"/>
        </w:rPr>
        <w:t>7.</w:t>
      </w:r>
      <w:bookmarkStart w:id="38" w:name="refAllLogic992"/>
      <w:bookmarkEnd w:id="38"/>
      <w:bookmarkStart w:id="39" w:name="bRPindex992"/>
      <w:bookmarkEnd w:id="39"/>
    </w:p>
    <w:p w14:paraId="3C76FC77">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21</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G</w:t>
      </w:r>
      <w:r>
        <w:rPr>
          <w:rFonts w:ascii="Times New Roman" w:hAnsi="Times New Roman" w:eastAsia="宋体"/>
          <w:color w:val="auto"/>
          <w:sz w:val="21"/>
          <w:szCs w:val="24"/>
        </w:rPr>
        <w:t>oh</w:t>
      </w:r>
      <w:r>
        <w:rPr>
          <w:rFonts w:ascii="Times New Roman" w:hAnsi="Times New Roman" w:eastAsia="宋体"/>
          <w:caps w:val="0"/>
          <w:color w:val="auto"/>
          <w:sz w:val="21"/>
          <w:szCs w:val="24"/>
        </w:rPr>
        <w:t xml:space="preserve"> 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tewart</w:t>
      </w:r>
      <w:r>
        <w:rPr>
          <w:rFonts w:ascii="Times New Roman" w:hAnsi="Times New Roman" w:eastAsia="宋体"/>
          <w:caps w:val="0"/>
          <w:color w:val="auto"/>
          <w:sz w:val="21"/>
          <w:szCs w:val="24"/>
        </w:rPr>
        <w:t xml:space="preserve"> JC</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Poststroke fatigue is related to motor and cognitive performance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secondary analysis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w:t>
      </w:r>
      <w:r>
        <w:rPr>
          <w:rFonts w:hint="eastAsia" w:ascii="Times New Roman" w:hAnsi="Times New Roman" w:eastAsia="宋体"/>
          <w:color w:val="auto"/>
          <w:sz w:val="21"/>
          <w:szCs w:val="24"/>
          <w:lang w:val="en-US" w:eastAsia="zh-CN"/>
        </w:rPr>
        <w:t xml:space="preserve"> </w:t>
      </w:r>
      <w:r>
        <w:rPr>
          <w:rFonts w:ascii="Times New Roman" w:hAnsi="Times New Roman" w:eastAsia="宋体"/>
          <w:color w:val="auto"/>
          <w:sz w:val="21"/>
          <w:szCs w:val="24"/>
        </w:rPr>
        <w:t>Neurol Phys Ther</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43</w:t>
      </w:r>
      <w:r>
        <w:rPr>
          <w:rFonts w:hint="eastAsia"/>
          <w:color w:val="auto"/>
          <w:sz w:val="21"/>
          <w:szCs w:val="24"/>
          <w:lang w:eastAsia="zh-CN"/>
        </w:rPr>
        <w:t>(</w:t>
      </w:r>
      <w:r>
        <w:rPr>
          <w:rFonts w:ascii="Times New Roman" w:hAnsi="Times New Roman" w:eastAsia="宋体"/>
          <w:color w:val="auto"/>
          <w:sz w:val="21"/>
          <w:szCs w:val="24"/>
        </w:rPr>
        <w:t>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233-23</w:t>
      </w:r>
      <w:r>
        <w:rPr>
          <w:rFonts w:hint="eastAsia" w:ascii="Times New Roman" w:hAnsi="Times New Roman" w:eastAsia="宋体"/>
          <w:color w:val="auto"/>
          <w:sz w:val="21"/>
          <w:szCs w:val="24"/>
          <w:lang w:eastAsia="zh-CN"/>
        </w:rPr>
        <w:t>9.</w:t>
      </w:r>
      <w:bookmarkStart w:id="40" w:name="refAllLogic993"/>
      <w:bookmarkEnd w:id="40"/>
      <w:bookmarkStart w:id="41" w:name="bRPindex993"/>
      <w:bookmarkEnd w:id="41"/>
    </w:p>
    <w:p w14:paraId="3BC0365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22</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B</w:t>
      </w:r>
      <w:r>
        <w:rPr>
          <w:rFonts w:ascii="Times New Roman" w:hAnsi="Times New Roman" w:eastAsia="宋体"/>
          <w:color w:val="auto"/>
          <w:sz w:val="21"/>
          <w:szCs w:val="24"/>
        </w:rPr>
        <w:t>alasubramanian</w:t>
      </w:r>
      <w:r>
        <w:rPr>
          <w:rFonts w:ascii="Times New Roman" w:hAnsi="Times New Roman" w:eastAsia="宋体"/>
          <w:caps w:val="0"/>
          <w:color w:val="auto"/>
          <w:sz w:val="21"/>
          <w:szCs w:val="24"/>
        </w:rPr>
        <w:t xml:space="preserve"> CK</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N</w:t>
      </w:r>
      <w:r>
        <w:rPr>
          <w:rFonts w:ascii="Times New Roman" w:hAnsi="Times New Roman" w:eastAsia="宋体"/>
          <w:color w:val="auto"/>
          <w:sz w:val="21"/>
          <w:szCs w:val="24"/>
        </w:rPr>
        <w:t>eptune</w:t>
      </w:r>
      <w:r>
        <w:rPr>
          <w:rFonts w:ascii="Times New Roman" w:hAnsi="Times New Roman" w:eastAsia="宋体"/>
          <w:caps w:val="0"/>
          <w:color w:val="auto"/>
          <w:sz w:val="21"/>
          <w:szCs w:val="24"/>
        </w:rPr>
        <w:t xml:space="preserve"> RR</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K</w:t>
      </w:r>
      <w:r>
        <w:rPr>
          <w:rFonts w:ascii="Times New Roman" w:hAnsi="Times New Roman" w:eastAsia="宋体"/>
          <w:color w:val="auto"/>
          <w:sz w:val="21"/>
          <w:szCs w:val="24"/>
        </w:rPr>
        <w:t>autz</w:t>
      </w:r>
      <w:r>
        <w:rPr>
          <w:rFonts w:ascii="Times New Roman" w:hAnsi="Times New Roman" w:eastAsia="宋体"/>
          <w:caps w:val="0"/>
          <w:color w:val="auto"/>
          <w:sz w:val="21"/>
          <w:szCs w:val="24"/>
        </w:rPr>
        <w:t xml:space="preserve"> S A</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Variability in spatiotemporal step characteristics and its relationship to walking performance post-stroke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Gait Posture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29</w:t>
      </w:r>
      <w:r>
        <w:rPr>
          <w:rFonts w:hint="eastAsia"/>
          <w:color w:val="auto"/>
          <w:sz w:val="21"/>
          <w:szCs w:val="24"/>
          <w:lang w:eastAsia="zh-CN"/>
        </w:rPr>
        <w:t>(</w:t>
      </w:r>
      <w:r>
        <w:rPr>
          <w:rFonts w:ascii="Times New Roman" w:hAnsi="Times New Roman" w:eastAsia="宋体"/>
          <w:color w:val="auto"/>
          <w:sz w:val="21"/>
          <w:szCs w:val="24"/>
        </w:rPr>
        <w:t>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408-41</w:t>
      </w:r>
      <w:r>
        <w:rPr>
          <w:rFonts w:hint="eastAsia" w:ascii="Times New Roman" w:hAnsi="Times New Roman" w:eastAsia="宋体"/>
          <w:color w:val="auto"/>
          <w:sz w:val="21"/>
          <w:szCs w:val="24"/>
          <w:lang w:eastAsia="zh-CN"/>
        </w:rPr>
        <w:t>4.</w:t>
      </w:r>
      <w:bookmarkStart w:id="42" w:name="bRPindex994"/>
      <w:bookmarkEnd w:id="42"/>
      <w:bookmarkStart w:id="43" w:name="refAllLogic994"/>
      <w:bookmarkEnd w:id="43"/>
    </w:p>
    <w:p w14:paraId="57F1DB5B">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23</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W</w:t>
      </w:r>
      <w:r>
        <w:rPr>
          <w:rFonts w:ascii="Times New Roman" w:hAnsi="Times New Roman" w:eastAsia="宋体"/>
          <w:color w:val="auto"/>
          <w:sz w:val="21"/>
          <w:szCs w:val="24"/>
        </w:rPr>
        <w:t>ang</w:t>
      </w:r>
      <w:r>
        <w:rPr>
          <w:rFonts w:ascii="Times New Roman" w:hAnsi="Times New Roman" w:eastAsia="宋体"/>
          <w:caps w:val="0"/>
          <w:color w:val="auto"/>
          <w:sz w:val="21"/>
          <w:szCs w:val="24"/>
        </w:rPr>
        <w:t xml:space="preserve"> Y</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M</w:t>
      </w:r>
      <w:r>
        <w:rPr>
          <w:rFonts w:ascii="Times New Roman" w:hAnsi="Times New Roman" w:eastAsia="宋体"/>
          <w:color w:val="auto"/>
          <w:sz w:val="21"/>
          <w:szCs w:val="24"/>
        </w:rPr>
        <w:t>ukaino</w:t>
      </w:r>
      <w:r>
        <w:rPr>
          <w:rFonts w:ascii="Times New Roman" w:hAnsi="Times New Roman" w:eastAsia="宋体"/>
          <w:caps w:val="0"/>
          <w:color w:val="auto"/>
          <w:sz w:val="21"/>
          <w:szCs w:val="24"/>
        </w:rPr>
        <w:t xml:space="preserve"> 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O</w:t>
      </w:r>
      <w:r>
        <w:rPr>
          <w:rFonts w:ascii="Times New Roman" w:hAnsi="Times New Roman" w:eastAsia="宋体"/>
          <w:color w:val="auto"/>
          <w:sz w:val="21"/>
          <w:szCs w:val="24"/>
        </w:rPr>
        <w:t>htsuka</w:t>
      </w:r>
      <w:r>
        <w:rPr>
          <w:rFonts w:ascii="Times New Roman" w:hAnsi="Times New Roman" w:eastAsia="宋体"/>
          <w:caps w:val="0"/>
          <w:color w:val="auto"/>
          <w:sz w:val="21"/>
          <w:szCs w:val="24"/>
        </w:rPr>
        <w:t xml:space="preserve"> K</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Gait characteristics of post-stroke hemiparetic patients with different walking speeds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Int J Rehabil Res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43</w:t>
      </w:r>
      <w:r>
        <w:rPr>
          <w:rFonts w:hint="eastAsia"/>
          <w:color w:val="auto"/>
          <w:sz w:val="21"/>
          <w:szCs w:val="24"/>
          <w:lang w:eastAsia="zh-CN"/>
        </w:rPr>
        <w:t>(</w:t>
      </w:r>
      <w:r>
        <w:rPr>
          <w:rFonts w:ascii="Times New Roman" w:hAnsi="Times New Roman" w:eastAsia="宋体"/>
          <w:color w:val="auto"/>
          <w:sz w:val="21"/>
          <w:szCs w:val="24"/>
        </w:rPr>
        <w:t>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69-7</w:t>
      </w:r>
      <w:r>
        <w:rPr>
          <w:rFonts w:hint="eastAsia" w:ascii="Times New Roman" w:hAnsi="Times New Roman" w:eastAsia="宋体"/>
          <w:color w:val="auto"/>
          <w:sz w:val="21"/>
          <w:szCs w:val="24"/>
          <w:lang w:eastAsia="zh-CN"/>
        </w:rPr>
        <w:t>5.</w:t>
      </w:r>
      <w:bookmarkStart w:id="44" w:name="refAllLogic995"/>
      <w:bookmarkEnd w:id="44"/>
    </w:p>
    <w:p w14:paraId="747928E4">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firstLine="0"/>
        <w:jc w:val="left"/>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24</w:t>
      </w:r>
      <w:r>
        <w:rPr>
          <w:rFonts w:hint="eastAsia" w:ascii="Times New Roman" w:hAnsi="Times New Roman" w:eastAsia="宋体"/>
          <w:color w:val="auto"/>
          <w:sz w:val="21"/>
          <w:szCs w:val="24"/>
          <w:lang w:eastAsia="zh-CN"/>
        </w:rPr>
        <w:tab/>
      </w:r>
      <w:r>
        <w:rPr>
          <w:rFonts w:hint="eastAsia" w:ascii="Times New Roman" w:hAnsi="Times New Roman" w:eastAsia="宋体"/>
          <w:color w:val="auto"/>
          <w:sz w:val="21"/>
          <w:szCs w:val="24"/>
          <w:lang w:bidi="ar"/>
        </w:rPr>
        <w:t>中华医学会神经病学分会</w:t>
      </w:r>
      <w:r>
        <w:rPr>
          <w:rFonts w:hint="eastAsia" w:ascii="Times New Roman" w:hAnsi="Times New Roman" w:eastAsia="宋体"/>
          <w:color w:val="auto"/>
          <w:sz w:val="21"/>
          <w:szCs w:val="24"/>
          <w:lang w:eastAsia="zh-CN" w:bidi="ar"/>
        </w:rPr>
        <w:t xml:space="preserve">, </w:t>
      </w:r>
      <w:r>
        <w:rPr>
          <w:rFonts w:hint="eastAsia" w:ascii="Times New Roman" w:hAnsi="Times New Roman" w:eastAsia="宋体"/>
          <w:color w:val="auto"/>
          <w:sz w:val="21"/>
          <w:szCs w:val="24"/>
          <w:lang w:bidi="ar"/>
        </w:rPr>
        <w:t>中华医学会神经病学分会脑血管病学组</w:t>
      </w:r>
      <w:r>
        <w:rPr>
          <w:rFonts w:hint="eastAsia" w:ascii="Times New Roman" w:hAnsi="Times New Roman" w:eastAsia="宋体"/>
          <w:color w:val="auto"/>
          <w:sz w:val="21"/>
          <w:szCs w:val="24"/>
          <w:lang w:eastAsia="zh-CN" w:bidi="ar"/>
        </w:rPr>
        <w:t xml:space="preserve">. </w:t>
      </w:r>
      <w:r>
        <w:rPr>
          <w:rFonts w:hint="eastAsia" w:ascii="Times New Roman" w:hAnsi="Times New Roman" w:eastAsia="宋体"/>
          <w:color w:val="auto"/>
          <w:sz w:val="21"/>
          <w:szCs w:val="24"/>
          <w:lang w:bidi="ar"/>
        </w:rPr>
        <w:t>中国各类主要脑血管病诊断要点2019</w:t>
      </w:r>
      <w:r>
        <w:rPr>
          <w:rFonts w:hint="eastAsia" w:ascii="Times New Roman" w:hAnsi="Times New Roman" w:eastAsia="宋体"/>
          <w:color w:val="auto"/>
          <w:sz w:val="21"/>
          <w:szCs w:val="24"/>
          <w:lang w:val="en-US" w:eastAsia="zh-CN" w:bidi="ar"/>
        </w:rPr>
        <w:t xml:space="preserve"> </w:t>
      </w:r>
      <w:r>
        <w:rPr>
          <w:rFonts w:hint="eastAsia" w:ascii="Times New Roman" w:hAnsi="Times New Roman" w:eastAsia="宋体"/>
          <w:color w:val="auto"/>
          <w:sz w:val="21"/>
          <w:szCs w:val="24"/>
          <w:lang w:eastAsia="zh-CN" w:bidi="ar"/>
        </w:rPr>
        <w:t xml:space="preserve">[J]. </w:t>
      </w:r>
      <w:r>
        <w:rPr>
          <w:rFonts w:hint="eastAsia" w:ascii="Times New Roman" w:hAnsi="Times New Roman" w:eastAsia="宋体"/>
          <w:color w:val="auto"/>
          <w:sz w:val="21"/>
          <w:szCs w:val="24"/>
          <w:lang w:bidi="ar"/>
        </w:rPr>
        <w:t>中华神经科杂志</w:t>
      </w:r>
      <w:r>
        <w:rPr>
          <w:rFonts w:hint="eastAsia" w:ascii="Times New Roman" w:hAnsi="Times New Roman" w:eastAsia="宋体"/>
          <w:color w:val="auto"/>
          <w:sz w:val="21"/>
          <w:szCs w:val="24"/>
          <w:lang w:eastAsia="zh-CN" w:bidi="ar"/>
        </w:rPr>
        <w:t xml:space="preserve">, </w:t>
      </w:r>
      <w:r>
        <w:rPr>
          <w:rFonts w:hint="eastAsia" w:ascii="Times New Roman" w:hAnsi="Times New Roman" w:eastAsia="宋体"/>
          <w:color w:val="auto"/>
          <w:sz w:val="21"/>
          <w:szCs w:val="24"/>
          <w:lang w:bidi="ar"/>
        </w:rPr>
        <w:t>2019</w:t>
      </w:r>
      <w:r>
        <w:rPr>
          <w:rFonts w:hint="eastAsia" w:ascii="Times New Roman" w:hAnsi="Times New Roman" w:eastAsia="宋体"/>
          <w:color w:val="auto"/>
          <w:sz w:val="21"/>
          <w:szCs w:val="24"/>
          <w:lang w:eastAsia="zh-CN" w:bidi="ar"/>
        </w:rPr>
        <w:t xml:space="preserve">, </w:t>
      </w:r>
      <w:r>
        <w:rPr>
          <w:rFonts w:hint="eastAsia" w:ascii="Times New Roman" w:hAnsi="Times New Roman" w:eastAsia="宋体"/>
          <w:color w:val="auto"/>
          <w:sz w:val="21"/>
          <w:szCs w:val="24"/>
          <w:lang w:bidi="ar"/>
        </w:rPr>
        <w:t>52</w:t>
      </w:r>
      <w:r>
        <w:rPr>
          <w:rFonts w:hint="eastAsia" w:ascii="Times New Roman" w:hAnsi="Times New Roman" w:eastAsia="宋体"/>
          <w:color w:val="auto"/>
          <w:sz w:val="21"/>
          <w:szCs w:val="24"/>
          <w:lang w:val="en-US" w:eastAsia="zh-CN" w:bidi="ar"/>
        </w:rPr>
        <w:t>(9)</w:t>
      </w:r>
      <w:r>
        <w:rPr>
          <w:rFonts w:hint="eastAsia" w:ascii="Times New Roman" w:hAnsi="Times New Roman" w:eastAsia="宋体"/>
          <w:color w:val="auto"/>
          <w:sz w:val="21"/>
          <w:szCs w:val="24"/>
          <w:lang w:eastAsia="zh-CN" w:bidi="ar"/>
        </w:rPr>
        <w:t xml:space="preserve">: </w:t>
      </w:r>
      <w:r>
        <w:rPr>
          <w:rFonts w:hint="eastAsia" w:ascii="Times New Roman" w:hAnsi="Times New Roman" w:eastAsia="宋体"/>
          <w:color w:val="auto"/>
          <w:sz w:val="21"/>
          <w:szCs w:val="24"/>
          <w:lang w:bidi="ar"/>
        </w:rPr>
        <w:t>710</w:t>
      </w:r>
      <w:r>
        <w:rPr>
          <w:rFonts w:ascii="Times New Roman" w:hAnsi="Times New Roman" w:eastAsia="宋体"/>
          <w:color w:val="auto"/>
          <w:sz w:val="21"/>
          <w:szCs w:val="24"/>
        </w:rPr>
        <w:t>-</w:t>
      </w:r>
      <w:r>
        <w:rPr>
          <w:rFonts w:hint="eastAsia" w:ascii="Times New Roman" w:hAnsi="Times New Roman" w:eastAsia="宋体"/>
          <w:color w:val="auto"/>
          <w:sz w:val="21"/>
          <w:szCs w:val="24"/>
          <w:lang w:bidi="ar"/>
        </w:rPr>
        <w:t>71</w:t>
      </w:r>
      <w:r>
        <w:rPr>
          <w:rFonts w:hint="eastAsia" w:ascii="Times New Roman" w:hAnsi="Times New Roman" w:eastAsia="宋体"/>
          <w:color w:val="auto"/>
          <w:sz w:val="21"/>
          <w:szCs w:val="24"/>
          <w:lang w:eastAsia="zh-CN" w:bidi="ar"/>
        </w:rPr>
        <w:t>5.</w:t>
      </w:r>
      <w:bookmarkStart w:id="45" w:name="refAllLogic996"/>
      <w:bookmarkEnd w:id="45"/>
    </w:p>
    <w:p w14:paraId="2BBCFDC5">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val="en-US" w:eastAsia="zh-CN"/>
        </w:rPr>
      </w:pPr>
      <w:r>
        <w:rPr>
          <w:rFonts w:ascii="Times New Roman" w:hAnsi="Times New Roman" w:eastAsia="宋体"/>
          <w:color w:val="auto"/>
          <w:sz w:val="21"/>
          <w:szCs w:val="24"/>
        </w:rPr>
        <w:t>25</w:t>
      </w:r>
      <w:r>
        <w:rPr>
          <w:rFonts w:hint="eastAsia" w:ascii="Times New Roman" w:hAnsi="Times New Roman" w:eastAsia="宋体"/>
          <w:color w:val="auto"/>
          <w:sz w:val="21"/>
          <w:szCs w:val="24"/>
          <w:lang w:eastAsia="zh-CN"/>
        </w:rPr>
        <w:tab/>
      </w:r>
      <w:r>
        <w:rPr>
          <w:rFonts w:ascii="Times New Roman" w:hAnsi="Times New Roman" w:eastAsia="宋体"/>
          <w:color w:val="auto"/>
          <w:sz w:val="21"/>
          <w:szCs w:val="24"/>
        </w:rPr>
        <w:t>Warenczak-Pawlicka A</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Lisinski P</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Can we target close therapeutic goals in the gait re-education algorithm for stroke patients at the beginning of the rehabilitation process?</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Sensors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Basel)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24</w:t>
      </w:r>
      <w:r>
        <w:rPr>
          <w:rFonts w:hint="eastAsia"/>
          <w:color w:val="auto"/>
          <w:sz w:val="21"/>
          <w:szCs w:val="24"/>
          <w:lang w:eastAsia="zh-CN"/>
        </w:rPr>
        <w:t>(</w:t>
      </w:r>
      <w:r>
        <w:rPr>
          <w:rFonts w:ascii="Times New Roman" w:hAnsi="Times New Roman" w:eastAsia="宋体"/>
          <w:color w:val="auto"/>
          <w:sz w:val="21"/>
          <w:szCs w:val="24"/>
        </w:rPr>
        <w:t>11)</w:t>
      </w:r>
      <w:r>
        <w:rPr>
          <w:rFonts w:hint="eastAsia" w:ascii="Times New Roman" w:hAnsi="Times New Roman" w:eastAsia="宋体"/>
          <w:color w:val="auto"/>
          <w:sz w:val="21"/>
          <w:szCs w:val="24"/>
          <w:lang w:val="en-US" w:eastAsia="zh-CN"/>
        </w:rPr>
        <w:t>: 3416.</w:t>
      </w:r>
      <w:bookmarkStart w:id="46" w:name="refAllLogic997"/>
      <w:bookmarkEnd w:id="46"/>
    </w:p>
    <w:p w14:paraId="39B3C63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26</w:t>
      </w:r>
      <w:r>
        <w:rPr>
          <w:rFonts w:hint="eastAsia" w:ascii="Times New Roman" w:hAnsi="Times New Roman" w:eastAsia="宋体"/>
          <w:color w:val="auto"/>
          <w:sz w:val="21"/>
          <w:szCs w:val="24"/>
          <w:lang w:eastAsia="zh-CN"/>
        </w:rPr>
        <w:tab/>
      </w:r>
      <w:r>
        <w:rPr>
          <w:rFonts w:ascii="Times New Roman" w:hAnsi="Times New Roman" w:eastAsia="宋体"/>
          <w:color w:val="auto"/>
          <w:sz w:val="21"/>
          <w:szCs w:val="24"/>
        </w:rPr>
        <w:t>Howard 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Reimold NK</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Knight HL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Relationships between mediolateral step modulation and clinical balance measures in people with chronic 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Gait Posture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109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9-1</w:t>
      </w:r>
      <w:r>
        <w:rPr>
          <w:rFonts w:hint="eastAsia" w:ascii="Times New Roman" w:hAnsi="Times New Roman" w:eastAsia="宋体"/>
          <w:color w:val="auto"/>
          <w:sz w:val="21"/>
          <w:szCs w:val="24"/>
          <w:lang w:eastAsia="zh-CN"/>
        </w:rPr>
        <w:t>4.</w:t>
      </w:r>
      <w:bookmarkStart w:id="47" w:name="refAllLogic998"/>
      <w:bookmarkEnd w:id="47"/>
      <w:bookmarkStart w:id="48" w:name="bRPindex998"/>
      <w:bookmarkEnd w:id="48"/>
    </w:p>
    <w:p w14:paraId="40C8456F">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27</w:t>
      </w:r>
      <w:r>
        <w:rPr>
          <w:rFonts w:hint="eastAsia" w:ascii="Times New Roman" w:hAnsi="Times New Roman" w:eastAsia="宋体"/>
          <w:color w:val="auto"/>
          <w:sz w:val="21"/>
          <w:szCs w:val="24"/>
          <w:lang w:eastAsia="zh-CN"/>
        </w:rPr>
        <w:tab/>
      </w:r>
      <w:r>
        <w:rPr>
          <w:rFonts w:ascii="Times New Roman" w:hAnsi="Times New Roman" w:eastAsia="宋体"/>
          <w:color w:val="auto"/>
          <w:sz w:val="21"/>
          <w:szCs w:val="24"/>
        </w:rPr>
        <w:t>van</w:t>
      </w:r>
      <w:r>
        <w:rPr>
          <w:rFonts w:ascii="Times New Roman" w:hAnsi="Times New Roman" w:eastAsia="宋体"/>
          <w:caps w:val="0"/>
          <w:color w:val="auto"/>
          <w:sz w:val="21"/>
          <w:szCs w:val="24"/>
        </w:rPr>
        <w:t xml:space="preserve"> C</w:t>
      </w:r>
      <w:r>
        <w:rPr>
          <w:rFonts w:ascii="Times New Roman" w:hAnsi="Times New Roman" w:eastAsia="宋体"/>
          <w:color w:val="auto"/>
          <w:sz w:val="21"/>
          <w:szCs w:val="24"/>
        </w:rPr>
        <w:t>riekinge</w:t>
      </w:r>
      <w:r>
        <w:rPr>
          <w:rFonts w:ascii="Times New Roman" w:hAnsi="Times New Roman" w:eastAsia="宋体"/>
          <w:caps w:val="0"/>
          <w:color w:val="auto"/>
          <w:sz w:val="21"/>
          <w:szCs w:val="24"/>
        </w:rPr>
        <w:t xml:space="preserve"> T</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aeys</w:t>
      </w:r>
      <w:r>
        <w:rPr>
          <w:rFonts w:ascii="Times New Roman" w:hAnsi="Times New Roman" w:eastAsia="宋体"/>
          <w:caps w:val="0"/>
          <w:color w:val="auto"/>
          <w:sz w:val="21"/>
          <w:szCs w:val="24"/>
        </w:rPr>
        <w:t xml:space="preserve"> W</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allemans</w:t>
      </w:r>
      <w:r>
        <w:rPr>
          <w:rFonts w:ascii="Times New Roman" w:hAnsi="Times New Roman" w:eastAsia="宋体"/>
          <w:caps w:val="0"/>
          <w:color w:val="auto"/>
          <w:sz w:val="21"/>
          <w:szCs w:val="24"/>
        </w:rPr>
        <w:t xml:space="preserve"> A</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Trunk biomechanics during hemiplegic gait after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systematic review</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Gait Posture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2017</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54</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133-14</w:t>
      </w:r>
      <w:r>
        <w:rPr>
          <w:rFonts w:hint="eastAsia" w:ascii="Times New Roman" w:hAnsi="Times New Roman" w:eastAsia="宋体"/>
          <w:color w:val="auto"/>
          <w:sz w:val="21"/>
          <w:szCs w:val="24"/>
          <w:lang w:eastAsia="zh-CN"/>
        </w:rPr>
        <w:t>3.</w:t>
      </w:r>
      <w:bookmarkStart w:id="49" w:name="bRPindex999"/>
      <w:bookmarkEnd w:id="49"/>
      <w:bookmarkStart w:id="50" w:name="refAllLogic999"/>
      <w:bookmarkEnd w:id="50"/>
    </w:p>
    <w:p w14:paraId="5E1C8D2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28</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H</w:t>
      </w:r>
      <w:r>
        <w:rPr>
          <w:rFonts w:ascii="Times New Roman" w:hAnsi="Times New Roman" w:eastAsia="宋体"/>
          <w:color w:val="auto"/>
          <w:sz w:val="21"/>
          <w:szCs w:val="24"/>
        </w:rPr>
        <w:t>uang</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Y</w:t>
      </w:r>
      <w:r>
        <w:rPr>
          <w:rFonts w:ascii="Times New Roman" w:hAnsi="Times New Roman" w:eastAsia="宋体"/>
          <w:color w:val="auto"/>
          <w:sz w:val="21"/>
          <w:szCs w:val="24"/>
        </w:rPr>
        <w:t>u</w:t>
      </w:r>
      <w:r>
        <w:rPr>
          <w:rFonts w:ascii="Times New Roman" w:hAnsi="Times New Roman" w:eastAsia="宋体"/>
          <w:caps w:val="0"/>
          <w:color w:val="auto"/>
          <w:sz w:val="21"/>
          <w:szCs w:val="24"/>
        </w:rPr>
        <w:t xml:space="preserve"> X</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W</w:t>
      </w:r>
      <w:r>
        <w:rPr>
          <w:rFonts w:ascii="Times New Roman" w:hAnsi="Times New Roman" w:eastAsia="宋体"/>
          <w:color w:val="auto"/>
          <w:sz w:val="21"/>
          <w:szCs w:val="24"/>
        </w:rPr>
        <w:t>ang</w:t>
      </w:r>
      <w:r>
        <w:rPr>
          <w:rFonts w:ascii="Times New Roman" w:hAnsi="Times New Roman" w:eastAsia="宋体"/>
          <w:caps w:val="0"/>
          <w:color w:val="auto"/>
          <w:sz w:val="21"/>
          <w:szCs w:val="24"/>
        </w:rPr>
        <w:t xml:space="preserve"> K</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Short-step adjustment and proximal compensatory strategies adopted by stroke survivors with knee extensor spasticity for obstacle crossing</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Front Bioeng Biotechnol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93</w:t>
      </w:r>
      <w:r>
        <w:rPr>
          <w:rFonts w:hint="eastAsia" w:ascii="Times New Roman" w:hAnsi="Times New Roman" w:eastAsia="宋体"/>
          <w:color w:val="auto"/>
          <w:sz w:val="21"/>
          <w:szCs w:val="24"/>
          <w:lang w:eastAsia="zh-CN"/>
        </w:rPr>
        <w:t>9.</w:t>
      </w:r>
      <w:bookmarkStart w:id="51" w:name="bRPindex1000"/>
      <w:bookmarkEnd w:id="51"/>
      <w:bookmarkStart w:id="52" w:name="refAllLogic1000"/>
      <w:bookmarkEnd w:id="52"/>
    </w:p>
    <w:p w14:paraId="086055EF">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29</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H</w:t>
      </w:r>
      <w:r>
        <w:rPr>
          <w:rFonts w:ascii="Times New Roman" w:hAnsi="Times New Roman" w:eastAsia="宋体"/>
          <w:color w:val="auto"/>
          <w:sz w:val="21"/>
          <w:szCs w:val="24"/>
        </w:rPr>
        <w:t>elbostad</w:t>
      </w:r>
      <w:r>
        <w:rPr>
          <w:rFonts w:ascii="Times New Roman" w:hAnsi="Times New Roman" w:eastAsia="宋体"/>
          <w:caps w:val="0"/>
          <w:color w:val="auto"/>
          <w:sz w:val="21"/>
          <w:szCs w:val="24"/>
        </w:rPr>
        <w:t xml:space="preserve"> JL</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turnieks</w:t>
      </w:r>
      <w:r>
        <w:rPr>
          <w:rFonts w:ascii="Times New Roman" w:hAnsi="Times New Roman" w:eastAsia="宋体"/>
          <w:caps w:val="0"/>
          <w:color w:val="auto"/>
          <w:sz w:val="21"/>
          <w:szCs w:val="24"/>
        </w:rPr>
        <w:t xml:space="preserve"> DL</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M</w:t>
      </w:r>
      <w:r>
        <w:rPr>
          <w:rFonts w:ascii="Times New Roman" w:hAnsi="Times New Roman" w:eastAsia="宋体"/>
          <w:color w:val="auto"/>
          <w:sz w:val="21"/>
          <w:szCs w:val="24"/>
        </w:rPr>
        <w:t>enant</w:t>
      </w:r>
      <w:r>
        <w:rPr>
          <w:rFonts w:ascii="Times New Roman" w:hAnsi="Times New Roman" w:eastAsia="宋体"/>
          <w:caps w:val="0"/>
          <w:color w:val="auto"/>
          <w:sz w:val="21"/>
          <w:szCs w:val="24"/>
        </w:rPr>
        <w:t xml:space="preserve"> J</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Consequences of lower extremity and trunk muscle fatigue on balance and functional tasks in older people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systematic literature review</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BMC Geriatr</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2010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5</w:t>
      </w:r>
      <w:r>
        <w:rPr>
          <w:rFonts w:hint="eastAsia" w:ascii="Times New Roman" w:hAnsi="Times New Roman" w:eastAsia="宋体"/>
          <w:color w:val="auto"/>
          <w:sz w:val="21"/>
          <w:szCs w:val="24"/>
          <w:lang w:eastAsia="zh-CN"/>
        </w:rPr>
        <w:t>6.</w:t>
      </w:r>
      <w:bookmarkStart w:id="53" w:name="refAllLogic1001"/>
      <w:bookmarkEnd w:id="53"/>
      <w:bookmarkStart w:id="54" w:name="bRPindex1001"/>
      <w:bookmarkEnd w:id="54"/>
    </w:p>
    <w:p w14:paraId="72CD64D9">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30</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P</w:t>
      </w:r>
      <w:r>
        <w:rPr>
          <w:rFonts w:ascii="Times New Roman" w:hAnsi="Times New Roman" w:eastAsia="宋体"/>
          <w:color w:val="auto"/>
          <w:sz w:val="21"/>
          <w:szCs w:val="24"/>
        </w:rPr>
        <w:t>ulyk</w:t>
      </w:r>
      <w:r>
        <w:rPr>
          <w:rFonts w:ascii="Times New Roman" w:hAnsi="Times New Roman" w:eastAsia="宋体"/>
          <w:caps w:val="0"/>
          <w:color w:val="auto"/>
          <w:sz w:val="21"/>
          <w:szCs w:val="24"/>
        </w:rPr>
        <w:t xml:space="preserve"> O</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yryavets</w:t>
      </w:r>
      <w:r>
        <w:rPr>
          <w:rFonts w:ascii="Times New Roman" w:hAnsi="Times New Roman" w:eastAsia="宋体"/>
          <w:caps w:val="0"/>
          <w:color w:val="auto"/>
          <w:sz w:val="21"/>
          <w:szCs w:val="24"/>
        </w:rPr>
        <w:t xml:space="preserve"> M</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tudeniak</w:t>
      </w:r>
      <w:r>
        <w:rPr>
          <w:rFonts w:ascii="Times New Roman" w:hAnsi="Times New Roman" w:eastAsia="宋体"/>
          <w:caps w:val="0"/>
          <w:color w:val="auto"/>
          <w:sz w:val="21"/>
          <w:szCs w:val="24"/>
        </w:rPr>
        <w:t xml:space="preserve"> T</w:t>
      </w:r>
      <w:r>
        <w:rPr>
          <w:rFonts w:hint="eastAsia" w:ascii="Times New Roman" w:hAnsi="Times New Roman" w:eastAsia="宋体"/>
          <w:color w:val="auto"/>
          <w:sz w:val="21"/>
          <w:szCs w:val="24"/>
          <w:lang w:eastAsia="zh-CN"/>
        </w:rPr>
        <w:t xml:space="preserve">. </w:t>
      </w:r>
      <w:r>
        <w:rPr>
          <w:rFonts w:hint="eastAsia" w:ascii="Times New Roman" w:hAnsi="Times New Roman" w:eastAsia="宋体"/>
          <w:color w:val="auto"/>
          <w:sz w:val="21"/>
          <w:szCs w:val="24"/>
          <w:lang w:val="en-US" w:eastAsia="zh-CN"/>
        </w:rPr>
        <w:t>P</w:t>
      </w:r>
      <w:r>
        <w:rPr>
          <w:rFonts w:ascii="Times New Roman" w:hAnsi="Times New Roman" w:eastAsia="宋体"/>
          <w:color w:val="auto"/>
          <w:sz w:val="21"/>
          <w:szCs w:val="24"/>
        </w:rPr>
        <w:t>oststroke fatigue and motor recovery after ischemic 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Wiad Lek</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75</w:t>
      </w: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5 pt 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1328-133</w:t>
      </w:r>
      <w:r>
        <w:rPr>
          <w:rFonts w:hint="eastAsia" w:ascii="Times New Roman" w:hAnsi="Times New Roman" w:eastAsia="宋体"/>
          <w:color w:val="auto"/>
          <w:sz w:val="21"/>
          <w:szCs w:val="24"/>
          <w:lang w:eastAsia="zh-CN"/>
        </w:rPr>
        <w:t>0.</w:t>
      </w:r>
      <w:bookmarkStart w:id="55" w:name="refAllLogic1002"/>
      <w:bookmarkEnd w:id="55"/>
    </w:p>
    <w:p w14:paraId="4CA2CD6C">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31</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G</w:t>
      </w:r>
      <w:r>
        <w:rPr>
          <w:rFonts w:ascii="Times New Roman" w:hAnsi="Times New Roman" w:eastAsia="宋体"/>
          <w:color w:val="auto"/>
          <w:sz w:val="21"/>
          <w:szCs w:val="24"/>
        </w:rPr>
        <w:t>oyal</w:t>
      </w:r>
      <w:r>
        <w:rPr>
          <w:rFonts w:ascii="Times New Roman" w:hAnsi="Times New Roman" w:eastAsia="宋体"/>
          <w:caps w:val="0"/>
          <w:color w:val="auto"/>
          <w:sz w:val="21"/>
          <w:szCs w:val="24"/>
        </w:rPr>
        <w:t xml:space="preserve"> V</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ragunas</w:t>
      </w:r>
      <w:r>
        <w:rPr>
          <w:rFonts w:ascii="Times New Roman" w:hAnsi="Times New Roman" w:eastAsia="宋体"/>
          <w:caps w:val="0"/>
          <w:color w:val="auto"/>
          <w:sz w:val="21"/>
          <w:szCs w:val="24"/>
        </w:rPr>
        <w:t xml:space="preserve"> A</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A</w:t>
      </w:r>
      <w:r>
        <w:rPr>
          <w:rFonts w:ascii="Times New Roman" w:hAnsi="Times New Roman" w:eastAsia="宋体"/>
          <w:color w:val="auto"/>
          <w:sz w:val="21"/>
          <w:szCs w:val="24"/>
        </w:rPr>
        <w:t>skew</w:t>
      </w:r>
      <w:r>
        <w:rPr>
          <w:rFonts w:ascii="Times New Roman" w:hAnsi="Times New Roman" w:eastAsia="宋体"/>
          <w:caps w:val="0"/>
          <w:color w:val="auto"/>
          <w:sz w:val="21"/>
          <w:szCs w:val="24"/>
        </w:rPr>
        <w:t xml:space="preserve"> R L</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Altered biomechanical strategies of the paretic hip and knee joints during a step-up task</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Top Stroke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30</w:t>
      </w: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137-14</w:t>
      </w:r>
      <w:r>
        <w:rPr>
          <w:rFonts w:hint="eastAsia" w:ascii="Times New Roman" w:hAnsi="Times New Roman" w:eastAsia="宋体"/>
          <w:color w:val="auto"/>
          <w:sz w:val="21"/>
          <w:szCs w:val="24"/>
          <w:lang w:eastAsia="zh-CN"/>
        </w:rPr>
        <w:t>5.</w:t>
      </w:r>
      <w:bookmarkStart w:id="56" w:name="refAllLogic1003"/>
      <w:bookmarkEnd w:id="56"/>
    </w:p>
    <w:p w14:paraId="1CAF73FD">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32</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T</w:t>
      </w:r>
      <w:r>
        <w:rPr>
          <w:rFonts w:ascii="Times New Roman" w:hAnsi="Times New Roman" w:eastAsia="宋体"/>
          <w:color w:val="auto"/>
          <w:sz w:val="21"/>
          <w:szCs w:val="24"/>
        </w:rPr>
        <w:t>hompson</w:t>
      </w:r>
      <w:r>
        <w:rPr>
          <w:rFonts w:ascii="Times New Roman" w:hAnsi="Times New Roman" w:eastAsia="宋体"/>
          <w:caps w:val="0"/>
          <w:color w:val="auto"/>
          <w:sz w:val="21"/>
          <w:szCs w:val="24"/>
        </w:rPr>
        <w:t xml:space="preserve"> NE</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R</w:t>
      </w:r>
      <w:r>
        <w:rPr>
          <w:rFonts w:ascii="Times New Roman" w:hAnsi="Times New Roman" w:eastAsia="宋体"/>
          <w:color w:val="auto"/>
          <w:sz w:val="21"/>
          <w:szCs w:val="24"/>
        </w:rPr>
        <w:t>ubinstein</w:t>
      </w:r>
      <w:r>
        <w:rPr>
          <w:rFonts w:ascii="Times New Roman" w:hAnsi="Times New Roman" w:eastAsia="宋体"/>
          <w:caps w:val="0"/>
          <w:color w:val="auto"/>
          <w:sz w:val="21"/>
          <w:szCs w:val="24"/>
        </w:rPr>
        <w:t xml:space="preserve"> D</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P</w:t>
      </w:r>
      <w:r>
        <w:rPr>
          <w:rFonts w:ascii="Times New Roman" w:hAnsi="Times New Roman" w:eastAsia="宋体"/>
          <w:color w:val="auto"/>
          <w:sz w:val="21"/>
          <w:szCs w:val="24"/>
        </w:rPr>
        <w:t>arrell</w:t>
      </w:r>
      <w:r>
        <w:rPr>
          <w:rFonts w:ascii="Times New Roman" w:hAnsi="Times New Roman" w:eastAsia="宋体"/>
          <w:caps w:val="0"/>
          <w:color w:val="auto"/>
          <w:sz w:val="21"/>
          <w:szCs w:val="24"/>
        </w:rPr>
        <w:t>a-O</w:t>
      </w:r>
      <w:r>
        <w:rPr>
          <w:rFonts w:ascii="Times New Roman" w:hAnsi="Times New Roman" w:eastAsia="宋体"/>
          <w:color w:val="auto"/>
          <w:sz w:val="21"/>
          <w:szCs w:val="24"/>
        </w:rPr>
        <w:t>'Donnell</w:t>
      </w:r>
      <w:r>
        <w:rPr>
          <w:rFonts w:ascii="Times New Roman" w:hAnsi="Times New Roman" w:eastAsia="宋体"/>
          <w:caps w:val="0"/>
          <w:color w:val="auto"/>
          <w:sz w:val="21"/>
          <w:szCs w:val="24"/>
        </w:rPr>
        <w:t xml:space="preserve"> W</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loss of the'pelvic step'in human evolution</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Exp Biol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w:t>
      </w:r>
      <w:r>
        <w:rPr>
          <w:rFonts w:hint="eastAsia" w:ascii="Times New Roman" w:hAnsi="Times New Roman" w:eastAsia="宋体"/>
          <w:color w:val="auto"/>
          <w:sz w:val="21"/>
          <w:szCs w:val="24"/>
          <w:lang w:eastAsia="zh-CN"/>
        </w:rPr>
        <w:t>1, 2</w:t>
      </w:r>
      <w:r>
        <w:rPr>
          <w:rFonts w:ascii="Times New Roman" w:hAnsi="Times New Roman" w:eastAsia="宋体"/>
          <w:color w:val="auto"/>
          <w:sz w:val="21"/>
          <w:szCs w:val="24"/>
        </w:rPr>
        <w:t>24</w:t>
      </w:r>
      <w:r>
        <w:rPr>
          <w:rFonts w:hint="eastAsia" w:ascii="Times New Roman" w:hAnsi="Times New Roman" w:eastAsia="宋体"/>
          <w:color w:val="auto"/>
          <w:sz w:val="21"/>
          <w:szCs w:val="24"/>
          <w:lang w:eastAsia="zh-CN"/>
        </w:rPr>
        <w:t>(</w:t>
      </w:r>
      <w:r>
        <w:rPr>
          <w:rFonts w:ascii="Times New Roman" w:hAnsi="Times New Roman" w:eastAsia="宋体"/>
          <w:color w:val="auto"/>
          <w:sz w:val="21"/>
          <w:szCs w:val="24"/>
        </w:rPr>
        <w:t>16)</w:t>
      </w:r>
      <w:r>
        <w:rPr>
          <w:rFonts w:hint="eastAsia" w:ascii="Times New Roman" w:hAnsi="Times New Roman" w:eastAsia="宋体"/>
          <w:color w:val="auto"/>
          <w:sz w:val="21"/>
          <w:szCs w:val="24"/>
        </w:rPr>
        <w:t>:</w:t>
      </w:r>
      <w:r>
        <w:rPr>
          <w:rFonts w:hint="eastAsia"/>
          <w:color w:val="auto"/>
          <w:sz w:val="21"/>
          <w:szCs w:val="24"/>
          <w:lang w:val="en-US" w:eastAsia="zh-CN"/>
        </w:rPr>
        <w:t xml:space="preserve"> </w:t>
      </w:r>
      <w:r>
        <w:rPr>
          <w:rFonts w:hint="eastAsia" w:ascii="Times New Roman" w:hAnsi="Times New Roman" w:eastAsia="宋体"/>
          <w:color w:val="auto"/>
          <w:sz w:val="21"/>
          <w:szCs w:val="24"/>
        </w:rPr>
        <w:t>jeb240440</w:t>
      </w:r>
      <w:r>
        <w:rPr>
          <w:rFonts w:hint="eastAsia" w:ascii="Times New Roman" w:hAnsi="Times New Roman" w:eastAsia="宋体"/>
          <w:color w:val="auto"/>
          <w:sz w:val="21"/>
          <w:szCs w:val="24"/>
          <w:lang w:eastAsia="zh-CN"/>
        </w:rPr>
        <w:t xml:space="preserve">. </w:t>
      </w:r>
      <w:bookmarkStart w:id="57" w:name="refAllLogic1004"/>
      <w:bookmarkEnd w:id="57"/>
      <w:bookmarkStart w:id="58" w:name="bRPindex1004"/>
      <w:bookmarkEnd w:id="58"/>
    </w:p>
    <w:p w14:paraId="12017CE4">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33</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D</w:t>
      </w:r>
      <w:r>
        <w:rPr>
          <w:rFonts w:ascii="Times New Roman" w:hAnsi="Times New Roman" w:eastAsia="宋体"/>
          <w:color w:val="auto"/>
          <w:sz w:val="21"/>
          <w:szCs w:val="24"/>
        </w:rPr>
        <w:t>ella</w:t>
      </w:r>
      <w:r>
        <w:rPr>
          <w:rFonts w:ascii="Times New Roman" w:hAnsi="Times New Roman" w:eastAsia="宋体"/>
          <w:caps w:val="0"/>
          <w:color w:val="auto"/>
          <w:sz w:val="21"/>
          <w:szCs w:val="24"/>
        </w:rPr>
        <w:t xml:space="preserve"> C</w:t>
      </w:r>
      <w:r>
        <w:rPr>
          <w:rFonts w:ascii="Times New Roman" w:hAnsi="Times New Roman" w:eastAsia="宋体"/>
          <w:color w:val="auto"/>
          <w:sz w:val="21"/>
          <w:szCs w:val="24"/>
        </w:rPr>
        <w:t>roce</w:t>
      </w:r>
      <w:r>
        <w:rPr>
          <w:rFonts w:ascii="Times New Roman" w:hAnsi="Times New Roman" w:eastAsia="宋体"/>
          <w:caps w:val="0"/>
          <w:color w:val="auto"/>
          <w:sz w:val="21"/>
          <w:szCs w:val="24"/>
        </w:rPr>
        <w:t xml:space="preserve"> U</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R</w:t>
      </w:r>
      <w:r>
        <w:rPr>
          <w:rFonts w:ascii="Times New Roman" w:hAnsi="Times New Roman" w:eastAsia="宋体"/>
          <w:color w:val="auto"/>
          <w:sz w:val="21"/>
          <w:szCs w:val="24"/>
        </w:rPr>
        <w:t>iley</w:t>
      </w:r>
      <w:r>
        <w:rPr>
          <w:rFonts w:ascii="Times New Roman" w:hAnsi="Times New Roman" w:eastAsia="宋体"/>
          <w:caps w:val="0"/>
          <w:color w:val="auto"/>
          <w:sz w:val="21"/>
          <w:szCs w:val="24"/>
        </w:rPr>
        <w:t xml:space="preserve"> PO</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elas</w:t>
      </w:r>
      <w:r>
        <w:rPr>
          <w:rFonts w:ascii="Times New Roman" w:hAnsi="Times New Roman" w:eastAsia="宋体"/>
          <w:caps w:val="0"/>
          <w:color w:val="auto"/>
          <w:sz w:val="21"/>
          <w:szCs w:val="24"/>
        </w:rPr>
        <w:t xml:space="preserve"> JL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refined view of the determinants of gait</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Gait Posture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2001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14</w:t>
      </w:r>
      <w:r>
        <w:rPr>
          <w:rFonts w:hint="eastAsia"/>
          <w:color w:val="auto"/>
          <w:sz w:val="21"/>
          <w:szCs w:val="24"/>
          <w:lang w:eastAsia="zh-CN"/>
        </w:rPr>
        <w:t>(</w:t>
      </w:r>
      <w:r>
        <w:rPr>
          <w:rFonts w:ascii="Times New Roman" w:hAnsi="Times New Roman" w:eastAsia="宋体"/>
          <w:color w:val="auto"/>
          <w:sz w:val="21"/>
          <w:szCs w:val="24"/>
        </w:rPr>
        <w:t>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79-8</w:t>
      </w:r>
      <w:r>
        <w:rPr>
          <w:rFonts w:hint="eastAsia" w:ascii="Times New Roman" w:hAnsi="Times New Roman" w:eastAsia="宋体"/>
          <w:color w:val="auto"/>
          <w:sz w:val="21"/>
          <w:szCs w:val="24"/>
          <w:lang w:eastAsia="zh-CN"/>
        </w:rPr>
        <w:t>4.</w:t>
      </w:r>
      <w:bookmarkStart w:id="59" w:name="refAllLogic1005"/>
      <w:bookmarkEnd w:id="59"/>
      <w:bookmarkStart w:id="60" w:name="bRPindex1005"/>
      <w:bookmarkEnd w:id="60"/>
    </w:p>
    <w:p w14:paraId="5E20F158">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34</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L</w:t>
      </w:r>
      <w:r>
        <w:rPr>
          <w:rFonts w:ascii="Times New Roman" w:hAnsi="Times New Roman" w:eastAsia="宋体"/>
          <w:color w:val="auto"/>
          <w:sz w:val="21"/>
          <w:szCs w:val="24"/>
        </w:rPr>
        <w:t>ing</w:t>
      </w:r>
      <w:r>
        <w:rPr>
          <w:rFonts w:ascii="Times New Roman" w:hAnsi="Times New Roman" w:eastAsia="宋体"/>
          <w:caps w:val="0"/>
          <w:color w:val="auto"/>
          <w:sz w:val="21"/>
          <w:szCs w:val="24"/>
        </w:rPr>
        <w:t xml:space="preserve"> 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G</w:t>
      </w:r>
      <w:r>
        <w:rPr>
          <w:rFonts w:ascii="Times New Roman" w:hAnsi="Times New Roman" w:eastAsia="宋体"/>
          <w:color w:val="auto"/>
          <w:sz w:val="21"/>
          <w:szCs w:val="24"/>
        </w:rPr>
        <w:t>uo</w:t>
      </w:r>
      <w:r>
        <w:rPr>
          <w:rFonts w:ascii="Times New Roman" w:hAnsi="Times New Roman" w:eastAsia="宋体"/>
          <w:caps w:val="0"/>
          <w:color w:val="auto"/>
          <w:sz w:val="21"/>
          <w:szCs w:val="24"/>
        </w:rPr>
        <w:t xml:space="preserve"> 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Z</w:t>
      </w:r>
      <w:r>
        <w:rPr>
          <w:rFonts w:ascii="Times New Roman" w:hAnsi="Times New Roman" w:eastAsia="宋体"/>
          <w:color w:val="auto"/>
          <w:sz w:val="21"/>
          <w:szCs w:val="24"/>
        </w:rPr>
        <w:t>hou</w:t>
      </w:r>
      <w:r>
        <w:rPr>
          <w:rFonts w:ascii="Times New Roman" w:hAnsi="Times New Roman" w:eastAsia="宋体"/>
          <w:caps w:val="0"/>
          <w:color w:val="auto"/>
          <w:sz w:val="21"/>
          <w:szCs w:val="24"/>
        </w:rPr>
        <w:t xml:space="preserve"> H</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Effect of a rigid ankle foot orthosis and an ankle foot orthosis with an oil damper plantar flexion resistance on pelvic and thoracic movements of patients with stroke during gait</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Biomed Eng Online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2023</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22</w:t>
      </w:r>
      <w:r>
        <w:rPr>
          <w:rFonts w:hint="eastAsia"/>
          <w:color w:val="auto"/>
          <w:sz w:val="21"/>
          <w:szCs w:val="24"/>
          <w:lang w:eastAsia="zh-CN"/>
        </w:rPr>
        <w:t>(</w:t>
      </w:r>
      <w:r>
        <w:rPr>
          <w:rFonts w:ascii="Times New Roman" w:hAnsi="Times New Roman" w:eastAsia="宋体"/>
          <w:color w:val="auto"/>
          <w:sz w:val="21"/>
          <w:szCs w:val="24"/>
        </w:rPr>
        <w:t>1)</w:t>
      </w:r>
      <w:r>
        <w:rPr>
          <w:rFonts w:hint="eastAsia" w:ascii="Times New Roman" w:hAnsi="Times New Roman" w:eastAsia="宋体"/>
          <w:color w:val="auto"/>
          <w:sz w:val="21"/>
          <w:szCs w:val="24"/>
          <w:lang w:eastAsia="zh-CN"/>
        </w:rPr>
        <w:t>: 9.</w:t>
      </w:r>
      <w:bookmarkStart w:id="61" w:name="refAllLogic1006"/>
      <w:bookmarkEnd w:id="61"/>
    </w:p>
    <w:p w14:paraId="30D7B7DA">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35</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S</w:t>
      </w:r>
      <w:r>
        <w:rPr>
          <w:rFonts w:ascii="Times New Roman" w:hAnsi="Times New Roman" w:eastAsia="宋体"/>
          <w:color w:val="auto"/>
          <w:sz w:val="21"/>
          <w:szCs w:val="24"/>
        </w:rPr>
        <w:t>anchez</w:t>
      </w:r>
      <w:r>
        <w:rPr>
          <w:rFonts w:ascii="Times New Roman" w:hAnsi="Times New Roman" w:eastAsia="宋体"/>
          <w:caps w:val="0"/>
          <w:color w:val="auto"/>
          <w:sz w:val="21"/>
          <w:szCs w:val="24"/>
        </w:rPr>
        <w:t xml:space="preserve"> N</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chweighofer</w:t>
      </w:r>
      <w:r>
        <w:rPr>
          <w:rFonts w:ascii="Times New Roman" w:hAnsi="Times New Roman" w:eastAsia="宋体"/>
          <w:caps w:val="0"/>
          <w:color w:val="auto"/>
          <w:sz w:val="21"/>
          <w:szCs w:val="24"/>
        </w:rPr>
        <w:t xml:space="preserve"> N</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F</w:t>
      </w:r>
      <w:r>
        <w:rPr>
          <w:rFonts w:ascii="Times New Roman" w:hAnsi="Times New Roman" w:eastAsia="宋体"/>
          <w:color w:val="auto"/>
          <w:sz w:val="21"/>
          <w:szCs w:val="24"/>
        </w:rPr>
        <w:t>inley</w:t>
      </w:r>
      <w:r>
        <w:rPr>
          <w:rFonts w:ascii="Times New Roman" w:hAnsi="Times New Roman" w:eastAsia="宋体"/>
          <w:caps w:val="0"/>
          <w:color w:val="auto"/>
          <w:sz w:val="21"/>
          <w:szCs w:val="24"/>
        </w:rPr>
        <w:t xml:space="preserve"> JM</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Different biomechanical variables explain within-subjects versus between-subjects variance in step length asymmetry post-stroke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IEEE Trans Neural Syst Rehabil Eng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w:t>
      </w:r>
      <w:r>
        <w:rPr>
          <w:rFonts w:hint="eastAsia" w:ascii="Times New Roman" w:hAnsi="Times New Roman" w:eastAsia="宋体"/>
          <w:color w:val="auto"/>
          <w:sz w:val="21"/>
          <w:szCs w:val="24"/>
          <w:lang w:eastAsia="zh-CN"/>
        </w:rPr>
        <w:t>1,</w:t>
      </w:r>
      <w:r>
        <w:rPr>
          <w:rFonts w:hint="eastAsia"/>
          <w:color w:val="auto"/>
          <w:sz w:val="21"/>
          <w:szCs w:val="24"/>
          <w:lang w:val="en-US" w:eastAsia="zh-CN"/>
        </w:rPr>
        <w:t xml:space="preserve"> </w:t>
      </w:r>
      <w:r>
        <w:rPr>
          <w:rFonts w:hint="eastAsia" w:ascii="Times New Roman" w:hAnsi="Times New Roman" w:eastAsia="宋体"/>
          <w:color w:val="auto"/>
          <w:sz w:val="21"/>
          <w:szCs w:val="24"/>
          <w:lang w:eastAsia="zh-CN"/>
        </w:rPr>
        <w:t>2</w:t>
      </w:r>
      <w:r>
        <w:rPr>
          <w:rFonts w:ascii="Times New Roman" w:hAnsi="Times New Roman" w:eastAsia="宋体"/>
          <w:color w:val="auto"/>
          <w:sz w:val="21"/>
          <w:szCs w:val="24"/>
        </w:rPr>
        <w:t>9</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1188-119</w:t>
      </w:r>
      <w:r>
        <w:rPr>
          <w:rFonts w:hint="eastAsia" w:ascii="Times New Roman" w:hAnsi="Times New Roman" w:eastAsia="宋体"/>
          <w:color w:val="auto"/>
          <w:sz w:val="21"/>
          <w:szCs w:val="24"/>
          <w:lang w:eastAsia="zh-CN"/>
        </w:rPr>
        <w:t>8.</w:t>
      </w:r>
      <w:bookmarkStart w:id="62" w:name="refAllLogic1007"/>
      <w:bookmarkEnd w:id="62"/>
      <w:bookmarkStart w:id="63" w:name="bRPindex1007"/>
      <w:bookmarkEnd w:id="63"/>
    </w:p>
    <w:p w14:paraId="5EB4FBD6">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36</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C</w:t>
      </w:r>
      <w:r>
        <w:rPr>
          <w:rFonts w:ascii="Times New Roman" w:hAnsi="Times New Roman" w:eastAsia="宋体"/>
          <w:color w:val="auto"/>
          <w:sz w:val="21"/>
          <w:szCs w:val="24"/>
        </w:rPr>
        <w:t>hoi</w:t>
      </w:r>
      <w:r>
        <w:rPr>
          <w:rFonts w:ascii="Times New Roman" w:hAnsi="Times New Roman" w:eastAsia="宋体"/>
          <w:caps w:val="0"/>
          <w:color w:val="auto"/>
          <w:sz w:val="21"/>
          <w:szCs w:val="24"/>
        </w:rPr>
        <w:t xml:space="preserve"> Y</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S</w:t>
      </w:r>
      <w:r>
        <w:rPr>
          <w:rFonts w:ascii="Times New Roman" w:hAnsi="Times New Roman" w:eastAsia="宋体"/>
          <w:color w:val="auto"/>
          <w:sz w:val="21"/>
          <w:szCs w:val="24"/>
        </w:rPr>
        <w:t>on</w:t>
      </w:r>
      <w:r>
        <w:rPr>
          <w:rFonts w:ascii="Times New Roman" w:hAnsi="Times New Roman" w:eastAsia="宋体"/>
          <w:caps w:val="0"/>
          <w:color w:val="auto"/>
          <w:sz w:val="21"/>
          <w:szCs w:val="24"/>
        </w:rPr>
        <w:t xml:space="preserve"> S</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C</w:t>
      </w:r>
      <w:r>
        <w:rPr>
          <w:rFonts w:ascii="Times New Roman" w:hAnsi="Times New Roman" w:eastAsia="宋体"/>
          <w:color w:val="auto"/>
          <w:sz w:val="21"/>
          <w:szCs w:val="24"/>
        </w:rPr>
        <w:t>ha</w:t>
      </w:r>
      <w:r>
        <w:rPr>
          <w:rFonts w:ascii="Times New Roman" w:hAnsi="Times New Roman" w:eastAsia="宋体"/>
          <w:caps w:val="0"/>
          <w:color w:val="auto"/>
          <w:sz w:val="21"/>
          <w:szCs w:val="24"/>
        </w:rPr>
        <w:t xml:space="preserve"> Y</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Pelvic belt wearing during exercise improves balance of patients with stroke</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randomized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controlled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preliminary trial</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Stroke Cerebrovasc Dis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30</w:t>
      </w:r>
      <w:r>
        <w:rPr>
          <w:rFonts w:hint="eastAsia"/>
          <w:color w:val="auto"/>
          <w:sz w:val="21"/>
          <w:szCs w:val="24"/>
          <w:lang w:eastAsia="zh-CN"/>
        </w:rPr>
        <w:t>(</w:t>
      </w:r>
      <w:r>
        <w:rPr>
          <w:rFonts w:ascii="Times New Roman" w:hAnsi="Times New Roman" w:eastAsia="宋体"/>
          <w:color w:val="auto"/>
          <w:sz w:val="21"/>
          <w:szCs w:val="24"/>
        </w:rPr>
        <w:t>8)</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10582</w:t>
      </w:r>
      <w:r>
        <w:rPr>
          <w:rFonts w:hint="eastAsia" w:ascii="Times New Roman" w:hAnsi="Times New Roman" w:eastAsia="宋体"/>
          <w:color w:val="auto"/>
          <w:sz w:val="21"/>
          <w:szCs w:val="24"/>
          <w:lang w:eastAsia="zh-CN"/>
        </w:rPr>
        <w:t>0.</w:t>
      </w:r>
      <w:bookmarkStart w:id="64" w:name="refAllLogic1008"/>
      <w:bookmarkEnd w:id="64"/>
    </w:p>
    <w:p w14:paraId="602E322F">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37</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S</w:t>
      </w:r>
      <w:r>
        <w:rPr>
          <w:rFonts w:ascii="Times New Roman" w:hAnsi="Times New Roman" w:eastAsia="宋体"/>
          <w:color w:val="auto"/>
          <w:sz w:val="21"/>
          <w:szCs w:val="24"/>
        </w:rPr>
        <w:t>on</w:t>
      </w:r>
      <w:r>
        <w:rPr>
          <w:rFonts w:ascii="Times New Roman" w:hAnsi="Times New Roman" w:eastAsia="宋体"/>
          <w:caps w:val="0"/>
          <w:color w:val="auto"/>
          <w:sz w:val="21"/>
          <w:szCs w:val="24"/>
        </w:rPr>
        <w:t xml:space="preserve"> C</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ee</w:t>
      </w:r>
      <w:r>
        <w:rPr>
          <w:rFonts w:ascii="Times New Roman" w:hAnsi="Times New Roman" w:eastAsia="宋体"/>
          <w:caps w:val="0"/>
          <w:color w:val="auto"/>
          <w:sz w:val="21"/>
          <w:szCs w:val="24"/>
        </w:rPr>
        <w:t xml:space="preserve"> A</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ee</w:t>
      </w:r>
      <w:r>
        <w:rPr>
          <w:rFonts w:ascii="Times New Roman" w:hAnsi="Times New Roman" w:eastAsia="宋体"/>
          <w:caps w:val="0"/>
          <w:color w:val="auto"/>
          <w:sz w:val="21"/>
          <w:szCs w:val="24"/>
        </w:rPr>
        <w:t xml:space="preserve"> J</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The effect of pelvic movements of a gait training system for stroke patients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single blind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randomized</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parallel study</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J Neuroeng Rehabil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18</w:t>
      </w:r>
      <w:r>
        <w:rPr>
          <w:rFonts w:hint="eastAsia"/>
          <w:color w:val="auto"/>
          <w:sz w:val="21"/>
          <w:szCs w:val="24"/>
          <w:lang w:eastAsia="zh-CN"/>
        </w:rPr>
        <w:t>(</w:t>
      </w:r>
      <w:r>
        <w:rPr>
          <w:rFonts w:ascii="Times New Roman" w:hAnsi="Times New Roman" w:eastAsia="宋体"/>
          <w:color w:val="auto"/>
          <w:sz w:val="21"/>
          <w:szCs w:val="24"/>
        </w:rPr>
        <w:t>1)</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18</w:t>
      </w:r>
      <w:r>
        <w:rPr>
          <w:rFonts w:hint="eastAsia" w:ascii="Times New Roman" w:hAnsi="Times New Roman" w:eastAsia="宋体"/>
          <w:color w:val="auto"/>
          <w:sz w:val="21"/>
          <w:szCs w:val="24"/>
          <w:lang w:eastAsia="zh-CN"/>
        </w:rPr>
        <w:t>5.</w:t>
      </w:r>
      <w:bookmarkStart w:id="65" w:name="refAllLogic1009"/>
      <w:bookmarkEnd w:id="65"/>
    </w:p>
    <w:p w14:paraId="67480F10">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38</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P</w:t>
      </w:r>
      <w:r>
        <w:rPr>
          <w:rFonts w:ascii="Times New Roman" w:hAnsi="Times New Roman" w:eastAsia="宋体"/>
          <w:color w:val="auto"/>
          <w:sz w:val="21"/>
          <w:szCs w:val="24"/>
        </w:rPr>
        <w:t>ark</w:t>
      </w:r>
      <w:r>
        <w:rPr>
          <w:rFonts w:ascii="Times New Roman" w:hAnsi="Times New Roman" w:eastAsia="宋体"/>
          <w:caps w:val="0"/>
          <w:color w:val="auto"/>
          <w:sz w:val="21"/>
          <w:szCs w:val="24"/>
        </w:rPr>
        <w:t xml:space="preserve"> SH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H</w:t>
      </w:r>
      <w:r>
        <w:rPr>
          <w:rFonts w:ascii="Times New Roman" w:hAnsi="Times New Roman" w:eastAsia="宋体"/>
          <w:color w:val="auto"/>
          <w:sz w:val="21"/>
          <w:szCs w:val="24"/>
        </w:rPr>
        <w:t>su</w:t>
      </w:r>
      <w:r>
        <w:rPr>
          <w:rFonts w:ascii="Times New Roman" w:hAnsi="Times New Roman" w:eastAsia="宋体"/>
          <w:caps w:val="0"/>
          <w:color w:val="auto"/>
          <w:sz w:val="21"/>
          <w:szCs w:val="24"/>
        </w:rPr>
        <w:t xml:space="preserve"> C</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ee</w:t>
      </w:r>
      <w:r>
        <w:rPr>
          <w:rFonts w:ascii="Times New Roman" w:hAnsi="Times New Roman" w:eastAsia="宋体"/>
          <w:caps w:val="0"/>
          <w:color w:val="auto"/>
          <w:sz w:val="21"/>
          <w:szCs w:val="24"/>
        </w:rPr>
        <w:t xml:space="preserve"> W</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Gradual adaptation to pelvis perturbation during walking reinforces motor learning of weight shift toward the paretic side in individuals post-stroke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Exp Brain Res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w:t>
      </w:r>
      <w:r>
        <w:rPr>
          <w:rFonts w:hint="eastAsia" w:ascii="Times New Roman" w:hAnsi="Times New Roman" w:eastAsia="宋体"/>
          <w:color w:val="auto"/>
          <w:sz w:val="21"/>
          <w:szCs w:val="24"/>
          <w:lang w:eastAsia="zh-CN"/>
        </w:rPr>
        <w:t>1,</w:t>
      </w:r>
      <w:r>
        <w:rPr>
          <w:rFonts w:hint="eastAsia"/>
          <w:color w:val="auto"/>
          <w:sz w:val="21"/>
          <w:szCs w:val="24"/>
          <w:lang w:val="en-US" w:eastAsia="zh-CN"/>
        </w:rPr>
        <w:t xml:space="preserve"> </w:t>
      </w:r>
      <w:r>
        <w:rPr>
          <w:rFonts w:hint="eastAsia" w:ascii="Times New Roman" w:hAnsi="Times New Roman" w:eastAsia="宋体"/>
          <w:color w:val="auto"/>
          <w:sz w:val="21"/>
          <w:szCs w:val="24"/>
          <w:lang w:eastAsia="zh-CN"/>
        </w:rPr>
        <w:t>2</w:t>
      </w:r>
      <w:r>
        <w:rPr>
          <w:rFonts w:ascii="Times New Roman" w:hAnsi="Times New Roman" w:eastAsia="宋体"/>
          <w:color w:val="auto"/>
          <w:sz w:val="21"/>
          <w:szCs w:val="24"/>
        </w:rPr>
        <w:t>39</w:t>
      </w:r>
      <w:r>
        <w:rPr>
          <w:rFonts w:hint="eastAsia"/>
          <w:color w:val="auto"/>
          <w:sz w:val="21"/>
          <w:szCs w:val="24"/>
          <w:lang w:eastAsia="zh-CN"/>
        </w:rPr>
        <w:t>(</w:t>
      </w:r>
      <w:r>
        <w:rPr>
          <w:rFonts w:ascii="Times New Roman" w:hAnsi="Times New Roman" w:eastAsia="宋体"/>
          <w:color w:val="auto"/>
          <w:sz w:val="21"/>
          <w:szCs w:val="24"/>
        </w:rPr>
        <w:t>6)</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1701-171</w:t>
      </w:r>
      <w:r>
        <w:rPr>
          <w:rFonts w:hint="eastAsia" w:ascii="Times New Roman" w:hAnsi="Times New Roman" w:eastAsia="宋体"/>
          <w:color w:val="auto"/>
          <w:sz w:val="21"/>
          <w:szCs w:val="24"/>
          <w:lang w:eastAsia="zh-CN"/>
        </w:rPr>
        <w:t>3.</w:t>
      </w:r>
      <w:bookmarkStart w:id="66" w:name="refAllLogic1010"/>
      <w:bookmarkEnd w:id="66"/>
      <w:bookmarkStart w:id="67" w:name="bRPindex1010"/>
      <w:bookmarkEnd w:id="67"/>
    </w:p>
    <w:p w14:paraId="5276B86C">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39</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P</w:t>
      </w:r>
      <w:r>
        <w:rPr>
          <w:rFonts w:ascii="Times New Roman" w:hAnsi="Times New Roman" w:eastAsia="宋体"/>
          <w:color w:val="auto"/>
          <w:sz w:val="21"/>
          <w:szCs w:val="24"/>
        </w:rPr>
        <w:t>ark</w:t>
      </w:r>
      <w:r>
        <w:rPr>
          <w:rFonts w:ascii="Times New Roman" w:hAnsi="Times New Roman" w:eastAsia="宋体"/>
          <w:caps w:val="0"/>
          <w:color w:val="auto"/>
          <w:sz w:val="21"/>
          <w:szCs w:val="24"/>
        </w:rPr>
        <w:t xml:space="preserve"> SH</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L</w:t>
      </w:r>
      <w:r>
        <w:rPr>
          <w:rFonts w:ascii="Times New Roman" w:hAnsi="Times New Roman" w:eastAsia="宋体"/>
          <w:color w:val="auto"/>
          <w:sz w:val="21"/>
          <w:szCs w:val="24"/>
        </w:rPr>
        <w:t>in</w:t>
      </w:r>
      <w:r>
        <w:rPr>
          <w:rFonts w:ascii="Times New Roman" w:hAnsi="Times New Roman" w:eastAsia="宋体"/>
          <w:caps w:val="0"/>
          <w:color w:val="auto"/>
          <w:sz w:val="21"/>
          <w:szCs w:val="24"/>
        </w:rPr>
        <w:t xml:space="preserve"> J</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D</w:t>
      </w:r>
      <w:r>
        <w:rPr>
          <w:rFonts w:ascii="Times New Roman" w:hAnsi="Times New Roman" w:eastAsia="宋体"/>
          <w:color w:val="auto"/>
          <w:sz w:val="21"/>
          <w:szCs w:val="24"/>
        </w:rPr>
        <w:t>ee</w:t>
      </w:r>
      <w:r>
        <w:rPr>
          <w:rFonts w:ascii="Times New Roman" w:hAnsi="Times New Roman" w:eastAsia="宋体"/>
          <w:caps w:val="0"/>
          <w:color w:val="auto"/>
          <w:sz w:val="21"/>
          <w:szCs w:val="24"/>
        </w:rPr>
        <w:t xml:space="preserve"> W</w:t>
      </w:r>
      <w:r>
        <w:rPr>
          <w:rFonts w:hint="eastAsia" w:ascii="Times New Roman" w:hAnsi="Times New Roman" w:eastAsia="宋体"/>
          <w:caps w:val="0"/>
          <w:color w:val="auto"/>
          <w:sz w:val="21"/>
          <w:szCs w:val="24"/>
          <w:lang w:eastAsia="zh-CN"/>
        </w:rPr>
        <w:t xml:space="preserve">, </w:t>
      </w:r>
      <w:r>
        <w:rPr>
          <w:rFonts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Targeted pelvic constraint force induces enhanced use of the paretic leg during walking in persons post-stroke</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IEEE Trans Neural Syst Rehabil Eng</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28</w:t>
      </w:r>
      <w:r>
        <w:rPr>
          <w:rFonts w:hint="eastAsia"/>
          <w:color w:val="auto"/>
          <w:sz w:val="21"/>
          <w:szCs w:val="24"/>
          <w:lang w:eastAsia="zh-CN"/>
        </w:rPr>
        <w:t>(</w:t>
      </w:r>
      <w:r>
        <w:rPr>
          <w:rFonts w:ascii="Times New Roman" w:hAnsi="Times New Roman" w:eastAsia="宋体"/>
          <w:color w:val="auto"/>
          <w:sz w:val="21"/>
          <w:szCs w:val="24"/>
        </w:rPr>
        <w:t>10)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2184-219</w:t>
      </w:r>
      <w:r>
        <w:rPr>
          <w:rFonts w:hint="eastAsia" w:ascii="Times New Roman" w:hAnsi="Times New Roman" w:eastAsia="宋体"/>
          <w:color w:val="auto"/>
          <w:sz w:val="21"/>
          <w:szCs w:val="24"/>
          <w:lang w:eastAsia="zh-CN"/>
        </w:rPr>
        <w:t>3.</w:t>
      </w:r>
      <w:bookmarkStart w:id="68" w:name="refAllLogic1011"/>
      <w:bookmarkEnd w:id="68"/>
      <w:bookmarkStart w:id="69" w:name="bRPindex1011"/>
      <w:bookmarkEnd w:id="69"/>
    </w:p>
    <w:p w14:paraId="2F8DD862">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ascii="Times New Roman" w:hAnsi="Times New Roman" w:eastAsia="宋体"/>
          <w:color w:val="auto"/>
          <w:sz w:val="21"/>
          <w:szCs w:val="24"/>
        </w:rPr>
        <w:t>40</w:t>
      </w:r>
      <w:r>
        <w:rPr>
          <w:rFonts w:hint="eastAsia" w:ascii="Times New Roman" w:hAnsi="Times New Roman" w:eastAsia="宋体"/>
          <w:color w:val="auto"/>
          <w:sz w:val="21"/>
          <w:szCs w:val="24"/>
          <w:lang w:eastAsia="zh-CN"/>
        </w:rPr>
        <w:tab/>
      </w:r>
      <w:r>
        <w:rPr>
          <w:rFonts w:ascii="Times New Roman" w:hAnsi="Times New Roman" w:eastAsia="宋体"/>
          <w:caps w:val="0"/>
          <w:color w:val="auto"/>
          <w:sz w:val="21"/>
          <w:szCs w:val="24"/>
        </w:rPr>
        <w:t>B</w:t>
      </w:r>
      <w:r>
        <w:rPr>
          <w:rFonts w:ascii="Times New Roman" w:hAnsi="Times New Roman" w:eastAsia="宋体"/>
          <w:color w:val="auto"/>
          <w:sz w:val="21"/>
          <w:szCs w:val="24"/>
        </w:rPr>
        <w:t>oob</w:t>
      </w:r>
      <w:r>
        <w:rPr>
          <w:rFonts w:ascii="Times New Roman" w:hAnsi="Times New Roman" w:eastAsia="宋体"/>
          <w:caps w:val="0"/>
          <w:color w:val="auto"/>
          <w:sz w:val="21"/>
          <w:szCs w:val="24"/>
        </w:rPr>
        <w:t xml:space="preserve"> MA</w:t>
      </w:r>
      <w:r>
        <w:rPr>
          <w:rFonts w:hint="eastAsia" w:ascii="Times New Roman" w:hAnsi="Times New Roman" w:eastAsia="宋体"/>
          <w:caps w:val="0"/>
          <w:color w:val="auto"/>
          <w:sz w:val="21"/>
          <w:szCs w:val="24"/>
          <w:lang w:eastAsia="zh-CN"/>
        </w:rPr>
        <w:t xml:space="preserve">, </w:t>
      </w:r>
      <w:r>
        <w:rPr>
          <w:rFonts w:ascii="Times New Roman" w:hAnsi="Times New Roman" w:eastAsia="宋体"/>
          <w:caps w:val="0"/>
          <w:color w:val="auto"/>
          <w:sz w:val="21"/>
          <w:szCs w:val="24"/>
        </w:rPr>
        <w:t>K</w:t>
      </w:r>
      <w:r>
        <w:rPr>
          <w:rFonts w:ascii="Times New Roman" w:hAnsi="Times New Roman" w:eastAsia="宋体"/>
          <w:color w:val="auto"/>
          <w:sz w:val="21"/>
          <w:szCs w:val="24"/>
        </w:rPr>
        <w:t>ovela</w:t>
      </w:r>
      <w:r>
        <w:rPr>
          <w:rFonts w:ascii="Times New Roman" w:hAnsi="Times New Roman" w:eastAsia="宋体"/>
          <w:caps w:val="0"/>
          <w:color w:val="auto"/>
          <w:sz w:val="21"/>
          <w:szCs w:val="24"/>
        </w:rPr>
        <w:t xml:space="preserve"> RK</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Effectiveness of pelvic proprioceptive neuromuscular facilitation techniques on balance and gait parameters in chronic stroke patients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a randomized clinical trial</w:t>
      </w:r>
      <w:r>
        <w:rPr>
          <w:rFonts w:hint="eastAsia" w:ascii="Times New Roman" w:hAnsi="Times New Roman" w:eastAsia="宋体"/>
          <w:color w:val="auto"/>
          <w:sz w:val="21"/>
          <w:szCs w:val="24"/>
          <w:lang w:eastAsia="zh-CN"/>
        </w:rPr>
        <w:t xml:space="preserve"> [J]. </w:t>
      </w:r>
      <w:r>
        <w:rPr>
          <w:rFonts w:ascii="Times New Roman" w:hAnsi="Times New Roman" w:eastAsia="宋体"/>
          <w:color w:val="auto"/>
          <w:sz w:val="21"/>
          <w:szCs w:val="24"/>
        </w:rPr>
        <w:t>Cureus</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14</w:t>
      </w:r>
      <w:r>
        <w:rPr>
          <w:rFonts w:hint="eastAsia"/>
          <w:color w:val="auto"/>
          <w:sz w:val="21"/>
          <w:szCs w:val="24"/>
          <w:lang w:eastAsia="zh-CN"/>
        </w:rPr>
        <w:t>(</w:t>
      </w:r>
      <w:r>
        <w:rPr>
          <w:rFonts w:ascii="Times New Roman" w:hAnsi="Times New Roman" w:eastAsia="宋体"/>
          <w:color w:val="auto"/>
          <w:sz w:val="21"/>
          <w:szCs w:val="24"/>
        </w:rPr>
        <w:t>10)</w:t>
      </w:r>
      <w:r>
        <w:rPr>
          <w:rFonts w:hint="eastAsia" w:ascii="Times New Roman" w:hAnsi="Times New Roman" w:eastAsia="宋体"/>
          <w:color w:val="auto"/>
          <w:sz w:val="21"/>
          <w:szCs w:val="24"/>
          <w:lang w:eastAsia="zh-CN"/>
        </w:rPr>
        <w:t xml:space="preserve">: </w:t>
      </w:r>
      <w:r>
        <w:rPr>
          <w:rFonts w:ascii="Times New Roman" w:hAnsi="Times New Roman" w:eastAsia="宋体"/>
          <w:color w:val="auto"/>
          <w:sz w:val="21"/>
          <w:szCs w:val="24"/>
        </w:rPr>
        <w:t>e3063</w:t>
      </w:r>
      <w:r>
        <w:rPr>
          <w:rFonts w:hint="eastAsia" w:ascii="Times New Roman" w:hAnsi="Times New Roman" w:eastAsia="宋体"/>
          <w:color w:val="auto"/>
          <w:sz w:val="21"/>
          <w:szCs w:val="24"/>
          <w:lang w:eastAsia="zh-CN"/>
        </w:rPr>
        <w:t>0.</w:t>
      </w:r>
      <w:bookmarkStart w:id="70" w:name="refAllLogic1012"/>
      <w:bookmarkEnd w:id="70"/>
      <w:bookmarkStart w:id="71" w:name="bRPindex1012"/>
      <w:bookmarkEnd w:id="71"/>
    </w:p>
    <w:p w14:paraId="3944A6FB">
      <w:pPr>
        <w:keepNext w:val="0"/>
        <w:keepLines w:val="0"/>
        <w:pageBreakBefore w:val="0"/>
        <w:kinsoku/>
        <w:wordWrap/>
        <w:overflowPunct/>
        <w:topLinePunct w:val="0"/>
        <w:autoSpaceDE/>
        <w:autoSpaceDN/>
        <w:bidi w:val="0"/>
        <w:adjustRightInd/>
        <w:snapToGrid/>
        <w:spacing w:beforeAutospacing="0" w:afterAutospacing="0" w:line="360" w:lineRule="auto"/>
        <w:ind w:left="0" w:firstLine="0"/>
        <w:rPr>
          <w:rFonts w:hint="eastAsia" w:ascii="Times New Roman" w:hAnsi="Times New Roman" w:eastAsia="宋体"/>
          <w:color w:val="auto"/>
          <w:sz w:val="21"/>
          <w:szCs w:val="24"/>
          <w:lang w:eastAsia="zh-CN"/>
        </w:rPr>
      </w:pPr>
      <w:r>
        <w:rPr>
          <w:rFonts w:hint="eastAsia" w:ascii="Times New Roman" w:hAnsi="Times New Roman" w:eastAsia="宋体"/>
          <w:color w:val="auto"/>
          <w:sz w:val="21"/>
          <w:szCs w:val="24"/>
          <w:lang w:val="en-US" w:eastAsia="zh-CN"/>
        </w:rPr>
        <w:t>41</w:t>
      </w:r>
      <w:bookmarkStart w:id="72" w:name="_neb4A505B0F_8272_48B8_ABF5_9CF33CB7EEF8"/>
      <w:r>
        <w:rPr>
          <w:rFonts w:ascii="Times New Roman" w:hAnsi="Times New Roman" w:eastAsia="宋体"/>
          <w:caps w:val="0"/>
          <w:color w:val="auto"/>
          <w:sz w:val="21"/>
          <w:szCs w:val="24"/>
        </w:rPr>
        <w:tab/>
      </w:r>
      <w:r>
        <w:rPr>
          <w:rFonts w:hint="default" w:ascii="Times New Roman" w:hAnsi="Times New Roman" w:eastAsia="宋体"/>
          <w:color w:val="auto"/>
          <w:sz w:val="21"/>
          <w:szCs w:val="24"/>
        </w:rPr>
        <w:t>Jung K</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Jung J</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In T</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et al</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Effects of pelvic stabilization training with lateral and posterior tilt taping on pelvic inclination</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muscle strength</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and gait function in patients with stroke</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a randomized controlled study</w:t>
      </w:r>
      <w:r>
        <w:rPr>
          <w:rFonts w:hint="eastAsia" w:ascii="Times New Roman" w:hAnsi="Times New Roman" w:eastAsia="宋体"/>
          <w:color w:val="auto"/>
          <w:sz w:val="21"/>
          <w:szCs w:val="24"/>
          <w:lang w:eastAsia="zh-CN"/>
        </w:rPr>
        <w:t xml:space="preserve"> [J]. </w:t>
      </w:r>
      <w:r>
        <w:rPr>
          <w:rFonts w:hint="default" w:ascii="Times New Roman" w:hAnsi="Times New Roman" w:eastAsia="宋体"/>
          <w:color w:val="auto"/>
          <w:sz w:val="21"/>
          <w:szCs w:val="24"/>
        </w:rPr>
        <w:t>Biomed Res Int</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2022</w:t>
      </w:r>
      <w:r>
        <w:rPr>
          <w:rFonts w:hint="eastAsia" w:ascii="Times New Roman" w:hAnsi="Times New Roman" w:eastAsia="宋体"/>
          <w:color w:val="auto"/>
          <w:sz w:val="21"/>
          <w:szCs w:val="24"/>
          <w:lang w:eastAsia="zh-CN"/>
        </w:rPr>
        <w:t xml:space="preserve">: </w:t>
      </w:r>
      <w:r>
        <w:rPr>
          <w:rFonts w:hint="default" w:ascii="Times New Roman" w:hAnsi="Times New Roman" w:eastAsia="宋体"/>
          <w:color w:val="auto"/>
          <w:sz w:val="21"/>
          <w:szCs w:val="24"/>
        </w:rPr>
        <w:t>922466</w:t>
      </w:r>
      <w:bookmarkEnd w:id="72"/>
      <w:r>
        <w:rPr>
          <w:rFonts w:hint="eastAsia" w:ascii="Times New Roman" w:hAnsi="Times New Roman" w:eastAsia="宋体"/>
          <w:color w:val="auto"/>
          <w:sz w:val="21"/>
          <w:szCs w:val="24"/>
          <w:lang w:eastAsia="zh-CN"/>
        </w:rPr>
        <w:t>8.</w:t>
      </w:r>
      <w:bookmarkStart w:id="73" w:name="bRPindex1013"/>
      <w:bookmarkEnd w:id="73"/>
      <w:bookmarkStart w:id="74" w:name="refAllLogic1013"/>
      <w:bookmarkEnd w:id="74"/>
    </w:p>
    <w:p w14:paraId="052DA77D">
      <w:pPr>
        <w:keepNext w:val="0"/>
        <w:keepLines w:val="0"/>
        <w:pageBreakBefore w:val="0"/>
        <w:kinsoku/>
        <w:wordWrap/>
        <w:overflowPunct/>
        <w:topLinePunct w:val="0"/>
        <w:autoSpaceDE/>
        <w:autoSpaceDN/>
        <w:bidi w:val="0"/>
        <w:adjustRightInd/>
        <w:snapToGrid/>
        <w:spacing w:beforeAutospacing="0" w:afterAutospacing="0" w:line="360" w:lineRule="auto"/>
        <w:jc w:val="right"/>
        <w:rPr>
          <w:rFonts w:ascii="Times New Roman" w:hAnsi="Times New Roman" w:eastAsia="宋体"/>
          <w:b w:val="0"/>
          <w:bCs/>
          <w:color w:val="auto"/>
          <w:sz w:val="21"/>
          <w:szCs w:val="21"/>
        </w:rPr>
      </w:pPr>
      <w:r>
        <w:rPr>
          <w:rFonts w:ascii="Times New Roman" w:hAnsi="Times New Roman" w:eastAsia="宋体"/>
          <w:color w:val="auto"/>
          <w:sz w:val="21"/>
          <w:szCs w:val="24"/>
        </w:rPr>
        <w:fldChar w:fldCharType="end"/>
      </w:r>
      <w:r>
        <w:rPr>
          <w:rFonts w:hint="eastAsia" w:ascii="Times New Roman" w:hAnsi="Times New Roman" w:eastAsia="宋体"/>
          <w:b w:val="0"/>
          <w:bCs/>
          <w:color w:val="auto"/>
          <w:sz w:val="21"/>
          <w:szCs w:val="21"/>
        </w:rPr>
        <w:t>（收稿日期：</w:t>
      </w:r>
      <w:r>
        <w:rPr>
          <w:rFonts w:hint="eastAsia" w:ascii="Times New Roman" w:hAnsi="Times New Roman" w:eastAsia="宋体"/>
          <w:b w:val="0"/>
          <w:bCs/>
          <w:color w:val="auto"/>
          <w:sz w:val="21"/>
          <w:szCs w:val="21"/>
          <w:lang w:val="en-US" w:eastAsia="zh-CN"/>
        </w:rPr>
        <w:t>2025-06-24</w:t>
      </w:r>
      <w:r>
        <w:rPr>
          <w:rFonts w:hint="eastAsia" w:ascii="Times New Roman" w:hAnsi="Times New Roman" w:eastAsia="宋体"/>
          <w:b w:val="0"/>
          <w:bCs/>
          <w:color w:val="auto"/>
          <w:sz w:val="21"/>
          <w:szCs w:val="21"/>
        </w:rPr>
        <w:t>）</w:t>
      </w:r>
    </w:p>
    <w:p w14:paraId="11BAD03D">
      <w:pPr>
        <w:keepNext w:val="0"/>
        <w:keepLines w:val="0"/>
        <w:pageBreakBefore w:val="0"/>
        <w:kinsoku/>
        <w:wordWrap/>
        <w:overflowPunct/>
        <w:topLinePunct w:val="0"/>
        <w:autoSpaceDE/>
        <w:autoSpaceDN/>
        <w:bidi w:val="0"/>
        <w:adjustRightInd/>
        <w:snapToGrid/>
        <w:spacing w:beforeAutospacing="0" w:afterAutospacing="0" w:line="360" w:lineRule="auto"/>
        <w:jc w:val="right"/>
        <w:rPr>
          <w:rFonts w:ascii="Times New Roman" w:hAnsi="Times New Roman" w:eastAsia="宋体"/>
          <w:color w:val="auto"/>
          <w:sz w:val="21"/>
          <w:szCs w:val="24"/>
        </w:rPr>
      </w:pPr>
      <w:r>
        <w:rPr>
          <w:rFonts w:hint="eastAsia" w:ascii="Times New Roman" w:hAnsi="Times New Roman" w:eastAsia="宋体"/>
          <w:b w:val="0"/>
          <w:bCs/>
          <w:color w:val="auto"/>
          <w:sz w:val="21"/>
          <w:szCs w:val="21"/>
        </w:rPr>
        <w:t>（本文编辑：</w:t>
      </w:r>
      <w:r>
        <w:rPr>
          <w:rFonts w:hint="eastAsia" w:ascii="Times New Roman" w:hAnsi="Times New Roman" w:eastAsia="宋体" w:cs="Times New Roman"/>
          <w:b w:val="0"/>
          <w:bCs/>
          <w:snapToGrid w:val="0"/>
          <w:spacing w:val="9"/>
          <w:sz w:val="21"/>
          <w:szCs w:val="20"/>
        </w:rPr>
        <w:t>裴月红 戴荣源</w:t>
      </w:r>
      <w:r>
        <w:rPr>
          <w:rFonts w:hint="eastAsia" w:ascii="Times New Roman" w:hAnsi="Times New Roman" w:eastAsia="宋体"/>
          <w:b w:val="0"/>
          <w:bCs/>
          <w:color w:val="auto"/>
          <w:sz w:val="21"/>
          <w:szCs w:val="21"/>
        </w:rPr>
        <w:t>）</w:t>
      </w:r>
    </w:p>
    <w:sectPr>
      <w:pgSz w:w="11906" w:h="16838"/>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EU-BZ">
    <w:altName w:val="宋体"/>
    <w:panose1 w:val="00000000000000000000"/>
    <w:charset w:val="86"/>
    <w:family w:val="script"/>
    <w:pitch w:val="default"/>
    <w:sig w:usb0="00000000" w:usb1="00000000" w:usb2="000A005E" w:usb3="00000000" w:csb0="003C004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imes-Roman">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7752B8F5-B9D0-46AF-B5ED-4D740C9B334D}"/>
    <w:docVar w:name="KY_MEDREF_VERSION" w:val="3"/>
    <w:docVar w:name="NE.Ref{0690F636-98E8-4365-9140-D2A52E15268F}" w:val=" ADDIN NE.Ref.{0690F636-98E8-4365-9140-D2A52E15268F}&lt;Citation&gt;&lt;Group&gt;&lt;References&gt;&lt;Item&gt;&lt;ID&gt;638&lt;/ID&gt;&lt;UID&gt;{EE5E6683-F063-4DEA-AC30-D07D95A5029A}&lt;/UID&gt;&lt;Title&gt;Lower limb muscle activity underlying temporal gait asymmetry post-stroke&lt;/Title&gt;&lt;Template&gt;Journal Article&lt;/Template&gt;&lt;Star&gt;0&lt;/Star&gt;&lt;Tag&gt;0&lt;/Tag&gt;&lt;Author&gt;Rozanski, Gabriela M; Huntley, Andrew H; Crosby, Lucas D; Schinkel-Ivy, Alison; Mansfield, Avril; Patterson, Kara K&lt;/Author&gt;&lt;Year&gt;2020&lt;/Year&gt;&lt;Details&gt;&lt;_accession_num&gt;32570199&lt;/_accession_num&gt;&lt;_author_adr&gt;Toronto Rehabilitation Institute, University Health Network, Toronto, Canada.  Electronic address: gabriela.rozanski@uhn.ca.; Toronto Rehabilitation Institute, University Health Network, Toronto, Canada.; Toronto Rehabilitation Institute, University Health Network, Toronto, Canada;  Rehabilitation Sciences Institute, University of Toronto, Toronto, Canada.; School of Physical and Health Education, Nipissing University, North Bay, Canada.; Toronto Rehabilitation Institute, University Health Network, Toronto, Canada;  Hurvitz Brain Sciences Research Program, Sunnybrook Research Institute, Toronto,  Canada.; Toronto Rehabilitation Institute, University Health Network, Toronto, Canada;  Rehabilitation Sciences Institute, University of Toronto, Toronto, Canada;  Department of Physical Therapy, University of Toronto, Toronto, Canada.&lt;/_author_adr&gt;&lt;_collection_scope&gt;SCIE&lt;/_collection_scope&gt;&lt;_created&gt;65948994&lt;/_created&gt;&lt;_date&gt;2020-08-01&lt;/_date&gt;&lt;_date_display&gt;2020 Aug&lt;/_date_display&gt;&lt;_db_updated&gt;PubMed&lt;/_db_updated&gt;&lt;_doi&gt;10.1016/j.clinph.2020.04.171&lt;/_doi&gt;&lt;_impact_factor&gt;   3.700&lt;/_impact_factor&gt;&lt;_isbn&gt;1872-8952 (Electronic); 1388-2457 (Linking)&lt;/_isbn&gt;&lt;_issue&gt;8&lt;/_issue&gt;&lt;_journal&gt;Clin Neurophysiol&lt;/_journal&gt;&lt;_keywords&gt;Electromyography; Gait asymmetry; Stroke; Swing time&lt;/_keywords&gt;&lt;_language&gt;eng&lt;/_language&gt;&lt;_modified&gt;65948994&lt;/_modified&gt;&lt;_ori_publication&gt;Copyright (c) 2020 International Federation of Clinical Neurophysiology. Published _x000d__x000a_      by Elsevier B.V. All rights reserved.&lt;/_ori_publication&gt;&lt;_pages&gt;1848-1858&lt;/_pages&gt;&lt;_social_category&gt;临床神经病学(3) &amp;amp; 神经科学(3)&lt;/_social_category&gt;&lt;_subject_headings&gt;Aged; Electromyography/*methods; Female; *Gait; Humans; Lower Extremity/*physiopathology; Male; Middle Aged; Muscle Contraction; Muscle, Skeletal/*physiopathology; Stroke/diagnosis/*physiopathology&lt;/_subject_headings&gt;&lt;_tertiary_title&gt;Clinical neurophysiology : official journal of the International Federation of _x000d__x000a_      Clinical Neurophysiology&lt;/_tertiary_title&gt;&lt;_type_work&gt;Journal Article; Randomized Controlled Trial; Research Support, Non-U.S. Gov&amp;apos;t&lt;/_type_work&gt;&lt;_url&gt;http://www.ncbi.nlm.nih.gov/entrez/query.fcgi?cmd=Retrieve&amp;amp;db=pubmed&amp;amp;dopt=Abstract&amp;amp;list_uids=32570199&amp;amp;query_hl=1&lt;/_url&gt;&lt;_volume&gt;131&lt;/_volume&gt;&lt;/Details&gt;&lt;Extra&gt;&lt;DBUID&gt;{4639BE48-E8DA-433D-936E-D6A27A715D41}&lt;/DBUID&gt;&lt;/Extra&gt;&lt;/Item&gt;&lt;/References&gt;&lt;/Group&gt;&lt;Group&gt;&lt;References&gt;&lt;Item&gt;&lt;ID&gt;639&lt;/ID&gt;&lt;UID&gt;{21261DAD-16E3-4E49-9DBF-EBA3B36970BA}&lt;/UID&gt;&lt;Title&gt;Association Between Lower Limb Strength Asymmetry and Gait Asymmetry: Implications for Gait Variability in Stroke Survivors&lt;/Title&gt;&lt;Template&gt;Journal Article&lt;/Template&gt;&lt;Star&gt;0&lt;/Star&gt;&lt;Tag&gt;0&lt;/Tag&gt;&lt;Author&gt;Lee, Yungon; Kim, Gi Beom; Shin, Sunghoon&lt;/Author&gt;&lt;Year&gt;2025&lt;/Year&gt;&lt;Details&gt;&lt;_accession_num&gt;39860387&lt;/_accession_num&gt;&lt;_author_adr&gt;Department of Military Kinesiology, Korea Military Academy, Seoul 01805, Republic  of Korea.; Neuromuscular Control Laboratory, Yeungnam University, Gyeongsan-si 38541,  Republic of Korea.; Department of Orthopedic Surgery, College of Medicine, Yeungnam University, 170  Hyonchung-ro, Daegu 42415, Republic of Korea.; Department of Orthopedic Surgery, Yeungnam University Medical Center, 170  Hyonchung-ro, Daegu 42415, Republic of Korea.; Research Institute of Human Ecology, Yeungnam University, Gyeongsan-si 38541,  Republic of Korea.; Neuromuscular Control Laboratory, Yeungnam University, Gyeongsan-si 38541,  Republic of Korea.; Research Institute of Human Ecology, Yeungnam University, Gyeongsan-si 38541,  Republic of Korea.; School of Kinesiology, College of Human Ecology &amp;amp; Kinesiology, Yeungnam  University, 280 Daehak-ro, 221ho, Gyeongsan-si 38541, Republic of Korea.&lt;/_author_adr&gt;&lt;_collection_scope&gt;SCIE&lt;/_collection_scope&gt;&lt;_created&gt;65948995&lt;/_created&gt;&lt;_date&gt;2025-01-09&lt;/_date&gt;&lt;_date_display&gt;2025 Jan 9&lt;/_date_display&gt;&lt;_db_updated&gt;PubMed&lt;/_db_updated&gt;&lt;_doi&gt;10.3390/jcm14020380&lt;/_doi&gt;&lt;_impact_factor&gt;   3.000&lt;/_impact_factor&gt;&lt;_isbn&gt;2077-0383 (Print); 2077-0383 (Electronic); 2077-0383 (Linking)&lt;/_isbn&gt;&lt;_issue&gt;2&lt;/_issue&gt;&lt;_journal&gt;J Clin Med&lt;/_journal&gt;&lt;_keywords&gt;gait; gait asymmetry; gait variability; lower limb strength asymmetry; stroke&lt;/_keywords&gt;&lt;_language&gt;eng&lt;/_language&gt;&lt;_modified&gt;65948995&lt;/_modified&gt;&lt;_social_category&gt;医学：内科(3)&lt;/_social_category&gt;&lt;_tertiary_title&gt;Journal of clinical medicine&lt;/_tertiary_title&gt;&lt;_type_work&gt;Journal Article&lt;/_type_work&gt;&lt;_url&gt;http://www.ncbi.nlm.nih.gov/entrez/query.fcgi?cmd=Retrieve&amp;amp;db=pubmed&amp;amp;dopt=Abstract&amp;amp;list_uids=39860387&amp;amp;query_hl=1&lt;/_url&gt;&lt;_volume&gt;14&lt;/_volume&gt;&lt;/Details&gt;&lt;Extra&gt;&lt;DBUID&gt;{4639BE48-E8DA-433D-936E-D6A27A715D41}&lt;/DBUID&gt;&lt;/Extra&gt;&lt;/Item&gt;&lt;/References&gt;&lt;/Group&gt;&lt;Group&gt;&lt;References&gt;&lt;Item&gt;&lt;ID&gt;640&lt;/ID&gt;&lt;UID&gt;{E33992FA-C01B-4083-BC32-E533CEA0B42E}&lt;/UID&gt;&lt;Title&gt;Quantifying Gait Asymmetry in Stroke Patients: A Statistical Parametric Mapping (SPM) Approach&lt;/Title&gt;&lt;Template&gt;Journal Article&lt;/Template&gt;&lt;Star&gt;0&lt;/Star&gt;&lt;Tag&gt;0&lt;/Tag&gt;&lt;Author&gt;Park, Jinwoo; Han, Kihoon&lt;/Author&gt;&lt;Year&gt;2025&lt;/Year&gt;&lt;Details&gt;&lt;_accession_num&gt;39820358&lt;/_accession_num&gt;&lt;_author_adr&gt;Department of Physical Education, Pusan National University, Busan, South Korea.; Department of Physical Education, Pusan National University, Busan, South Korea.&lt;/_author_adr&gt;&lt;_collection_scope&gt;SCIE&lt;/_collection_scope&gt;&lt;_created&gt;65948996&lt;/_created&gt;&lt;_date&gt;2025-01-17&lt;/_date&gt;&lt;_date_display&gt;2025 Jan 17&lt;/_date_display&gt;&lt;_db_updated&gt;PubMed&lt;/_db_updated&gt;&lt;_doi&gt;10.12659/MSM.946754&lt;/_doi&gt;&lt;_impact_factor&gt;   2.200&lt;/_impact_factor&gt;&lt;_isbn&gt;1643-3750 (Electronic); 1234-1010 (Print); 1234-1010 (Linking)&lt;/_isbn&gt;&lt;_journal&gt;Med Sci Monit&lt;/_journal&gt;&lt;_language&gt;eng&lt;/_language&gt;&lt;_modified&gt;65948996&lt;/_modified&gt;&lt;_pages&gt;e946754&lt;/_pages&gt;&lt;_social_category&gt;医学：研究与实验(4)&lt;/_social_category&gt;&lt;_subject_headings&gt;Humans; Male; Female; *Stroke/physiopathology; *Gait/physiology; Biomechanical Phenomena/physiology; Middle Aged; Knee Joint/physiopathology; Aged; Hip Joint/physiopathology; Stroke Rehabilitation/methods; *Gait Analysis/methods; Range of Motion, Articular/physiology; Adult; Ankle Joint/physiopathology&lt;/_subject_headings&gt;&lt;_tertiary_title&gt;Medical science monitor : international medical journal of experimental and _x000d__x000a_      clinical research&lt;/_tertiary_title&gt;&lt;_type_work&gt;Journal Article&lt;/_type_work&gt;&lt;_url&gt;http://www.ncbi.nlm.nih.gov/entrez/query.fcgi?cmd=Retrieve&amp;amp;db=pubmed&amp;amp;dopt=Abstract&amp;amp;list_uids=39820358&amp;amp;query_hl=1&lt;/_url&gt;&lt;_volume&gt;31&lt;/_volume&gt;&lt;/Details&gt;&lt;Extra&gt;&lt;DBUID&gt;{4639BE48-E8DA-433D-936E-D6A27A715D41}&lt;/DBUID&gt;&lt;/Extra&gt;&lt;/Item&gt;&lt;/References&gt;&lt;/Group&gt;&lt;/Citation&gt;_x000a_"/>
    <w:docVar w:name="NE.Ref{0697BCF4-F542-45B8-A382-A9E74957C924}" w:val=" ADDIN NE.Ref.{0697BCF4-F542-45B8-A382-A9E74957C924}&lt;Citation&gt;&lt;Group&gt;&lt;References&gt;&lt;Item&gt;&lt;ID&gt;664&lt;/ID&gt;&lt;UID&gt;{1C6FE2B0-5D95-4A11-8C6A-8E8062723609}&lt;/UID&gt;&lt;Title&gt;Variability in spatiotemporal step characteristics and its relationship to walking performance post-stroke&lt;/Title&gt;&lt;Template&gt;Journal Article&lt;/Template&gt;&lt;Star&gt;0&lt;/Star&gt;&lt;Tag&gt;0&lt;/Tag&gt;&lt;Author&gt;Balasubramanian, Chitralakshmi K; Neptune, Richard R; Kautz, Steven A&lt;/Author&gt;&lt;Year&gt;2009&lt;/Year&gt;&lt;Details&gt;&lt;_accession_num&gt;19056272&lt;/_accession_num&gt;&lt;_author_adr&gt;Department of Athletic Training and Physical Therapy, Brooks College of Health,  University of North Florida, Jacksonville, 32224, United States.&lt;/_author_adr&gt;&lt;_collection_scope&gt;SCIE&lt;/_collection_scope&gt;&lt;_created&gt;65949048&lt;/_created&gt;&lt;_date&gt;2009-04-01&lt;/_date&gt;&lt;_date_display&gt;2009 Apr&lt;/_date_display&gt;&lt;_db_updated&gt;PubMed&lt;/_db_updated&gt;&lt;_doi&gt;10.1016/j.gaitpost.2008.10.061&lt;/_doi&gt;&lt;_impact_factor&gt;   2.200&lt;/_impact_factor&gt;&lt;_isbn&gt;1879-2219 (Electronic); 0966-6362 (Print); 0966-6362 (Linking)&lt;/_isbn&gt;&lt;_issue&gt;3&lt;/_issue&gt;&lt;_journal&gt;Gait Posture&lt;/_journal&gt;&lt;_language&gt;eng&lt;/_language&gt;&lt;_modified&gt;65949048&lt;/_modified&gt;&lt;_pages&gt;408-14&lt;/_pages&gt;&lt;_social_category&gt;神经科学(3) &amp;amp; 骨科(3) &amp;amp; 运动科学(3)&lt;/_social_category&gt;&lt;_subject_headings&gt;Aged; Gait/*physiology; Hemiplegia/*physiopathology; Humans; Male; Middle Aged; Stroke/*physiopathology; Walking/*physiology&lt;/_subject_headings&gt;&lt;_tertiary_title&gt;Gait &amp;amp; posture&lt;/_tertiary_title&gt;&lt;_type_work&gt;Comparative Study; Journal Article; Research Support, N.I.H., Extramural; Research Support, Non-U.S. Gov&amp;apos;t; Research Support, U.S. Gov&amp;apos;t, Non-P.H.S.&lt;/_type_work&gt;&lt;_url&gt;http://www.ncbi.nlm.nih.gov/entrez/query.fcgi?cmd=Retrieve&amp;amp;db=pubmed&amp;amp;dopt=Abstract&amp;amp;list_uids=19056272&amp;amp;query_hl=1&lt;/_url&gt;&lt;_volume&gt;29&lt;/_volume&gt;&lt;/Details&gt;&lt;Extra&gt;&lt;DBUID&gt;{4639BE48-E8DA-433D-936E-D6A27A715D41}&lt;/DBUID&gt;&lt;/Extra&gt;&lt;/Item&gt;&lt;/References&gt;&lt;/Group&gt;&lt;Group&gt;&lt;References&gt;&lt;Item&gt;&lt;ID&gt;665&lt;/ID&gt;&lt;UID&gt;{E4CE9502-957C-4648-8B44-0E6F8F57C343}&lt;/UID&gt;&lt;Title&gt;Gait characteristics of post-stroke hemiparetic patients with different walking speeds&lt;/Title&gt;&lt;Template&gt;Journal Article&lt;/Template&gt;&lt;Star&gt;0&lt;/Star&gt;&lt;Tag&gt;0&lt;/Tag&gt;&lt;Author&gt;Wang, Yiji; Mukaino, Masahiko; Ohtsuka, Kei; Otaka, Yohei; Tanikawa, Hiroki; Matsuda, Fumihiro; Tsuchiyama, Kazuhiro; Yamada, Junya; Saitoh, Eiichi&lt;/Author&gt;&lt;Year&gt;2020&lt;/Year&gt;&lt;Details&gt;&lt;_accession_num&gt;31855899&lt;/_accession_num&gt;&lt;_author_adr&gt;Department of Rehabilitation Medicine I, School of Medicine, Fujita Health  University, Toyoake, Aichi, Japan.; Department of Spinal Cord Injury Rehabilitation, China Rehabilitation Research  Center.; School of Rehabilitation Medicine, Capital Medical University, Beijing, China.; Department of Rehabilitation Medicine I, School of Medicine, Fujita Health  University, Toyoake, Aichi, Japan.; Faculty of Rehabilitation, School of Health Sciences, Fujita Health University.; Department of Rehabilitation Medicine I, School of Medicine, Fujita Health  University, Toyoake, Aichi, Japan.; Faculty of Rehabilitation, School of Health Sciences, Fujita Health University.; Faculty of Rehabilitation, School of Health Sciences, Fujita Health University.; Faculty of Rehabilitation, School of Health Sciences, Fujita Health University.; Department of Rehabilitation, Fujita Health University Hospital, Toyoake, Aichi,  Japan.; Department of Rehabilitation Medicine I, School of Medicine, Fujita Health  University, Toyoake, Aichi, Japan.&lt;/_author_adr&gt;&lt;_collection_scope&gt;SCIE;SSCI;EI&lt;/_collection_scope&gt;&lt;_created&gt;65949049&lt;/_created&gt;&lt;_date&gt;2020-03-01&lt;/_date&gt;&lt;_date_display&gt;2020 Mar&lt;/_date_display&gt;&lt;_db_updated&gt;PubMed&lt;/_db_updated&gt;&lt;_doi&gt;10.1097/MRR.0000000000000391&lt;/_doi&gt;&lt;_impact_factor&gt;   1.500&lt;/_impact_factor&gt;&lt;_isbn&gt;1473-5660 (Electronic); 0342-5282 (Print); 0342-5282 (Linking)&lt;/_isbn&gt;&lt;_issue&gt;1&lt;/_issue&gt;&lt;_journal&gt;Int J Rehabil Res&lt;/_journal&gt;&lt;_language&gt;eng&lt;/_language&gt;&lt;_modified&gt;65949049&lt;/_modified&gt;&lt;_pages&gt;69-75&lt;/_pages&gt;&lt;_social_category&gt;康复医学(4)&lt;/_social_category&gt;&lt;_subject_headings&gt;Case-Control Studies; Female; *Gait Analysis; Gait Disorders, Neurologic/*physiopathology; Humans; Male; Middle Aged; Paresis/*physiopathology; Stroke/*physiopathology; Walking Speed/*physiology&lt;/_subject_headings&gt;&lt;_tertiary_title&gt;International journal of rehabilitation research. Internationale Zeitschrift fur _x000d__x000a_      Rehabilitationsforschung. Revue internationale de recherches de readaptation&lt;/_tertiary_title&gt;&lt;_type_work&gt;Journal Article&lt;/_type_work&gt;&lt;_url&gt;http://www.ncbi.nlm.nih.gov/entrez/query.fcgi?cmd=Retrieve&amp;amp;db=pubmed&amp;amp;dopt=Abstract&amp;amp;list_uids=31855899&amp;amp;query_hl=1&lt;/_url&gt;&lt;_volume&gt;43&lt;/_volume&gt;&lt;/Details&gt;&lt;Extra&gt;&lt;DBUID&gt;{4639BE48-E8DA-433D-936E-D6A27A715D41}&lt;/DBUID&gt;&lt;/Extra&gt;&lt;/Item&gt;&lt;/References&gt;&lt;/Group&gt;&lt;/Citation&gt;_x000a_"/>
    <w:docVar w:name="NE.Ref{08E9B4E4-F48A-4F7A-8E3F-D45C546C94E8}" w:val=" ADDIN NE.Ref.{08E9B4E4-F48A-4F7A-8E3F-D45C546C94E8}&lt;Citation&gt;&lt;Group&gt;&lt;References&gt;&lt;Item&gt;&lt;ID&gt;653&lt;/ID&gt;&lt;UID&gt;{869C8065-1C6A-40A6-A106-CE29262FF1A9}&lt;/UID&gt;&lt;Title&gt;Biomechanical impairments and gait adaptations post-stroke: Multi-factorial associations&lt;/Title&gt;&lt;Template&gt;Journal Article&lt;/Template&gt;&lt;Star&gt;0&lt;/Star&gt;&lt;Tag&gt;0&lt;/Tag&gt;&lt;Author&gt;Cruz, Theresa Hayes; Lewek, Michael D; Dhaher, Yasin Y&lt;/Author&gt;&lt;Year&gt;2009&lt;/Year&gt;&lt;Details&gt;&lt;_accessed&gt;65957765&lt;/_accessed&gt;&lt;_accession_num&gt;19457488&lt;/_accession_num&gt;&lt;_author_adr&gt;Northwestern University Department of Biomedical Engineering, 345 East Superior  Street, Chicago, IL 60611, USA.&lt;/_author_adr&gt;&lt;_collection_scope&gt;SCIE;EI&lt;/_collection_scope&gt;&lt;_created&gt;65949034&lt;/_created&gt;&lt;_date&gt;2009-08-07&lt;/_date&gt;&lt;_date_display&gt;2009 Aug 7&lt;/_date_display&gt;&lt;_db_updated&gt;CrossRef&lt;/_db_updated&gt;&lt;_doi&gt;10.1016/j.jbiomech.2009.04.015&lt;/_doi&gt;&lt;_impact_factor&gt;   2.400&lt;/_impact_factor&gt;&lt;_isbn&gt;00219290&lt;/_isbn&gt;&lt;_issue&gt;11&lt;/_issue&gt;&lt;_journal&gt;Journal of Biomechanics&lt;/_journal&gt;&lt;_language&gt;eng&lt;/_language&gt;&lt;_modified&gt;65957765&lt;/_modified&gt;&lt;_pages&gt;1673-1677&lt;/_pages&gt;&lt;_social_category&gt;生物物理(2) &amp;amp; 工程：生物医学(3)&lt;/_social_category&gt;&lt;_subject_headings&gt;Aged; Ankle Joint/*anatomy &amp;amp; histology; Biomechanical Phenomena; Female; *Gait; Gait Disorders, Neurologic/rehabilitation; Hip; Humans; Knee Joint/*anatomy &amp;amp; histology; Male; Middle Aged; Regression Analysis; Stroke/complications/*physiopathology; Stroke Rehabilitation&lt;/_subject_headings&gt;&lt;_tertiary_title&gt;Journal of Biomechanics&lt;/_tertiary_title&gt;&lt;_type_work&gt;Journal Article; Research Support, Non-U.S. Gov&amp;apos;t; Research Support, U.S. Gov&amp;apos;t, Non-P.H.S.&lt;/_type_work&gt;&lt;_url&gt;https://linkinghub.elsevier.com/retrieve/pii/S0021929009002218_x000d__x000a_https://dul.usage.elsevier.com/doi/&lt;/_url&gt;&lt;_volume&gt;42&lt;/_volume&gt;&lt;/Details&gt;&lt;Extra&gt;&lt;DBUID&gt;{4639BE48-E8DA-433D-936E-D6A27A715D41}&lt;/DBUID&gt;&lt;/Extra&gt;&lt;/Item&gt;&lt;/References&gt;&lt;/Group&gt;&lt;/Citation&gt;_x000a_"/>
    <w:docVar w:name="NE.Ref{09321548-5D73-4135-8E77-32314DD5DA59}" w:val=" ADDIN NE.Ref.{09321548-5D73-4135-8E77-32314DD5DA59}&lt;Citation&gt;&lt;Group&gt;&lt;References&gt;&lt;Item&gt;&lt;ID&gt;662&lt;/ID&gt;&lt;UID&gt;{1EDE5F48-5426-4850-80E2-CAE6BBCE10E5}&lt;/UID&gt;&lt;Title&gt;A refined view of the determinants of gait&lt;/Title&gt;&lt;Template&gt;Journal Article&lt;/Template&gt;&lt;Star&gt;0&lt;/Star&gt;&lt;Tag&gt;0&lt;/Tag&gt;&lt;Author&gt;Della Croce, U; Riley, P O; Lelas, J L; Kerrigan, D C&lt;/Author&gt;&lt;Year&gt;2001&lt;/Year&gt;&lt;Details&gt;&lt;_accession_num&gt;11544057&lt;/_accession_num&gt;&lt;_author_adr&gt;Dipartimento di Scienze Biomediche, University of Sassari, Viale San Pietro 43b,  Sassari, Italy. dellacro@uniss.it&lt;/_author_adr&gt;&lt;_collection_scope&gt;SCIE&lt;/_collection_scope&gt;&lt;_created&gt;65949046&lt;/_created&gt;&lt;_date&gt;2001-10-01&lt;/_date&gt;&lt;_date_display&gt;2001 Oct&lt;/_date_display&gt;&lt;_db_updated&gt;PubMed&lt;/_db_updated&gt;&lt;_doi&gt;10.1016/s0966-6362(01)00128-x&lt;/_doi&gt;&lt;_impact_factor&gt;   2.200&lt;/_impact_factor&gt;&lt;_isbn&gt;0966-6362 (Print); 0966-6362 (Linking)&lt;/_isbn&gt;&lt;_issue&gt;2&lt;/_issue&gt;&lt;_journal&gt;Gait Posture&lt;/_journal&gt;&lt;_language&gt;eng&lt;/_language&gt;&lt;_modified&gt;65949046&lt;/_modified&gt;&lt;_pages&gt;79-84&lt;/_pages&gt;&lt;_social_category&gt;神经科学(3) &amp;amp; 骨科(3) &amp;amp; 运动科学(3)&lt;/_social_category&gt;&lt;_subject_headings&gt;Adult; Biomechanical Phenomena; Female; Gait/*physiology; Humans; Knee/physiology; Male; Models, Biological; Pelvis/physiology; Rotation&lt;/_subject_headings&gt;&lt;_tertiary_title&gt;Gait &amp;amp; posture&lt;/_tertiary_title&gt;&lt;_type_work&gt;Journal Article; Research Support, Non-U.S. Gov&amp;apos;t; Research Support, U.S. Gov&amp;apos;t, P.H.S.&lt;/_type_work&gt;&lt;_url&gt;http://www.ncbi.nlm.nih.gov/entrez/query.fcgi?cmd=Retrieve&amp;amp;db=pubmed&amp;amp;dopt=Abstract&amp;amp;list_uids=11544057&amp;amp;query_hl=1&lt;/_url&gt;&lt;_volume&gt;14&lt;/_volume&gt;&lt;/Details&gt;&lt;Extra&gt;&lt;DBUID&gt;{4639BE48-E8DA-433D-936E-D6A27A715D41}&lt;/DBUID&gt;&lt;/Extra&gt;&lt;/Item&gt;&lt;/References&gt;&lt;/Group&gt;&lt;/Citation&gt;_x000a_"/>
    <w:docVar w:name="NE.Ref{21CD31BC-BD66-455D-8084-785258DD9A87}" w:val=" ADDIN NE.Ref.{21CD31BC-BD66-455D-8084-785258DD9A87}&lt;Citation&gt;&lt;Group&gt;&lt;References&gt;&lt;Item&gt;&lt;ID&gt;647&lt;/ID&gt;&lt;UID&gt;{D6F63881-4E44-419C-BEA2-57F1AB44D512}&lt;/UID&gt;&lt;Title&gt;Relationship between Pelvic Alignment and Weight-bearing Asymmetry in Community-dwelling Chronic Stroke Survivors&lt;/Title&gt;&lt;Template&gt;Journal Article&lt;/Template&gt;&lt;Star&gt;0&lt;/Star&gt;&lt;Tag&gt;0&lt;/Tag&gt;&lt;Author&gt;Karthikbabu, Suruliraj; Chakrapani, Mahabala; Ganesan, Sailakshmi; Ellajosyula, Ratnavalli&lt;/Author&gt;&lt;Year&gt;2016&lt;/Year&gt;&lt;Details&gt;&lt;_accession_num&gt;28163501&lt;/_accession_num&gt;&lt;_author_adr&gt;Department of Physiotherapy, School of Allied Health Sciences, Manipal  University, Manipal Hospital, Bengaluru, Karnataka, India.; Department of Medicine, Kasturba Medical College, Manipal University, Mangalore,  Karnataka, India.; Department of Physiotherapy, Spastics Society of Tamilnadu, Chennai, Tamil Nadu,  India.; Department of Neurology, Manipal Hospital, Bengaluru, Karnataka, India.&lt;/_author_adr&gt;&lt;_collection_scope&gt;ESCI&lt;/_collection_scope&gt;&lt;_created&gt;65949018&lt;/_created&gt;&lt;_date&gt;2016-12-01&lt;/_date&gt;&lt;_date_display&gt;2016 Dec&lt;/_date_display&gt;&lt;_db_updated&gt;PubMed&lt;/_db_updated&gt;&lt;_doi&gt;10.4103/0976-3147.196460&lt;/_doi&gt;&lt;_impact_factor&gt;   0.800&lt;/_impact_factor&gt;&lt;_isbn&gt;0976-3147 (Print); 0976-3155 (Electronic); 0976-3155 (Linking)&lt;/_isbn&gt;&lt;_issue&gt;Suppl 1&lt;/_issue&gt;&lt;_journal&gt;J Neurosci Rural Pract&lt;/_journal&gt;&lt;_keywords&gt;Motor recovery; pelvic alignment; stroke; weight-bearing asymmetry&lt;/_keywords&gt;&lt;_language&gt;eng&lt;/_language&gt;&lt;_modified&gt;65949018&lt;/_modified&gt;&lt;_pages&gt;S37-S40&lt;/_pages&gt;&lt;_social_category&gt;临床神经病学(4)&lt;/_social_category&gt;&lt;_tertiary_title&gt;Journal of neurosciences in rural practice&lt;/_tertiary_title&gt;&lt;_type_work&gt;Journal Article&lt;/_type_work&gt;&lt;_url&gt;http://www.ncbi.nlm.nih.gov/entrez/query.fcgi?cmd=Retrieve&amp;amp;db=pubmed&amp;amp;dopt=Abstract&amp;amp;list_uids=28163501&amp;amp;query_hl=1&lt;/_url&gt;&lt;_volume&gt;7&lt;/_volume&gt;&lt;/Details&gt;&lt;Extra&gt;&lt;DBUID&gt;{4639BE48-E8DA-433D-936E-D6A27A715D41}&lt;/DBUID&gt;&lt;/Extra&gt;&lt;/Item&gt;&lt;/References&gt;&lt;/Group&gt;&lt;/Citation&gt;_x000a_"/>
    <w:docVar w:name="NE.Ref{2BA743F6-5DE9-43A7-AE27-42AD3E999AE1}" w:val=" ADDIN NE.Ref.{2BA743F6-5DE9-43A7-AE27-42AD3E999AE1}&lt;Citation&gt;&lt;Group&gt;&lt;References&gt;&lt;Item&gt;&lt;ID&gt;651&lt;/ID&gt;&lt;UID&gt;{60F7E734-7E9F-430C-BC60-11B8132F7D86}&lt;/UID&gt;&lt;Title&gt;Can We Target Close Therapeutic Goals in the Gait Re-Education Algorithm for  Stroke Patients at the Beginning of the Rehabilitation Process?&lt;/Title&gt;&lt;Template&gt;Journal Article&lt;/Template&gt;&lt;Star&gt;0&lt;/Star&gt;&lt;Tag&gt;0&lt;/Tag&gt;&lt;Author&gt;Warenczak-Pawlicka, Agnieszka; Lisinski, Przemyslaw&lt;/Author&gt;&lt;Year&gt;2024&lt;/Year&gt;&lt;Details&gt;&lt;_accession_num&gt;38894207&lt;/_accession_num&gt;&lt;_author_adr&gt;Department of Rehabilitation and Physiotherapy, University of Medical Sciences,  28 Czerwca 1956 Str., No 135/147, 60-545 Poznan, Poland.; Department of Rehabilitation and Physiotherapy, University of Medical Sciences,  28 Czerwca 1956 Str., No 135/147, 60-545 Poznan, Poland.&lt;/_author_adr&gt;&lt;_collection_scope&gt;SCIE;EI&lt;/_collection_scope&gt;&lt;_created&gt;65949027&lt;/_created&gt;&lt;_date&gt;2024-05-25&lt;/_date&gt;&lt;_date_display&gt;2024 May 25&lt;/_date_display&gt;&lt;_db_updated&gt;PubMed&lt;/_db_updated&gt;&lt;_doi&gt;10.3390/s24113416&lt;/_doi&gt;&lt;_impact_factor&gt;   3.400&lt;/_impact_factor&gt;&lt;_isbn&gt;1424-8220 (Electronic); 1424-8220 (Linking)&lt;/_isbn&gt;&lt;_issue&gt;11&lt;/_issue&gt;&lt;_journal&gt;Sensors (Basel)&lt;/_journal&gt;&lt;_keywords&gt;gait; joint position sense; knee function; knee kinematics; stroke; wireless sensors&lt;/_keywords&gt;&lt;_language&gt;eng&lt;/_language&gt;&lt;_modified&gt;65949027&lt;/_modified&gt;&lt;_social_category&gt;分析化学(3) &amp;amp; 工程：电子与电气(3) &amp;amp; 仪器仪表(3)&lt;/_social_category&gt;&lt;_subject_headings&gt;Humans; *Stroke Rehabilitation/methods; Male; Female; Middle Aged; *Gait/physiology; *Stroke/physiopathology; *Algorithms; Aged; Knee Joint/physiopathology; Range of Motion, Articular/physiology; Adult&lt;/_subject_headings&gt;&lt;_tertiary_title&gt;Sensors (Basel, Switzerland)&lt;/_tertiary_title&gt;&lt;_type_work&gt;Journal Article&lt;/_type_work&gt;&lt;_url&gt;http://www.ncbi.nlm.nih.gov/entrez/query.fcgi?cmd=Retrieve&amp;amp;db=pubmed&amp;amp;dopt=Abstract&amp;amp;list_uids=38894207&amp;amp;query_hl=1&lt;/_url&gt;&lt;_volume&gt;24&lt;/_volume&gt;&lt;/Details&gt;&lt;Extra&gt;&lt;DBUID&gt;{4639BE48-E8DA-433D-936E-D6A27A715D41}&lt;/DBUID&gt;&lt;/Extra&gt;&lt;/Item&gt;&lt;/References&gt;&lt;/Group&gt;&lt;/Citation&gt;_x000a_"/>
    <w:docVar w:name="NE.Ref{320670AC-CA2A-4E5A-8231-3FF54358A25C}" w:val=" ADDIN NE.Ref.{320670AC-CA2A-4E5A-8231-3FF54358A25C}&lt;Citation&gt;&lt;Group&gt;&lt;References&gt;&lt;Item&gt;&lt;ID&gt;667&lt;/ID&gt;&lt;UID&gt;{8CAB89A2-F70D-414D-96BD-71ABBB5F4E92}&lt;/UID&gt;&lt;Title&gt;The major determinants in normal and pathological gait&lt;/Title&gt;&lt;Template&gt;Journal Article&lt;/Template&gt;&lt;Star&gt;0&lt;/Star&gt;&lt;Tag&gt;0&lt;/Tag&gt;&lt;Author&gt;SAUNDERS, J B; INMAN, V T; EBERHART, H D&lt;/Author&gt;&lt;Year&gt;1953&lt;/Year&gt;&lt;Details&gt;&lt;_accessed&gt;65957605&lt;/_accessed&gt;&lt;_accession_num&gt;13069544&lt;/_accession_num&gt;&lt;_collection_scope&gt;SCIE&lt;/_collection_scope&gt;&lt;_created&gt;65949051&lt;/_created&gt;&lt;_date&gt;28136160&lt;/_date&gt;&lt;_date_display&gt;1953 Jul&lt;/_date_display&gt;&lt;_db_updated&gt;PubMed&lt;/_db_updated&gt;&lt;_impact_factor&gt;   4.400&lt;/_impact_factor&gt;&lt;_isbn&gt;0021-9355 (Print); 0021-9355 (Linking)&lt;/_isbn&gt;&lt;_issue&gt;3&lt;/_issue&gt;&lt;_journal&gt;J Bone Joint Surg Am&lt;/_journal&gt;&lt;_keywords&gt;*GAIT&lt;/_keywords&gt;&lt;_language&gt;eng&lt;/_language&gt;&lt;_modified&gt;65957605&lt;/_modified&gt;&lt;_pages&gt;543-58&lt;/_pages&gt;&lt;_social_category&gt;骨科(1) &amp;amp; 外科(1)&lt;/_social_category&gt;&lt;_subject_headings&gt;*Gait; Humans&lt;/_subject_headings&gt;&lt;_tertiary_title&gt;The Journal of bone and joint surgery. American volume&lt;/_tertiary_title&gt;&lt;_type_work&gt;Journal Article&lt;/_type_work&gt;&lt;_url&gt;http://www.ncbi.nlm.nih.gov/entrez/query.fcgi?cmd=Retrieve&amp;amp;db=pubmed&amp;amp;dopt=Abstract&amp;amp;list_uids=13069544&amp;amp;query_hl=1&lt;/_url&gt;&lt;_volume&gt;35-A&lt;/_volume&gt;&lt;/Details&gt;&lt;Extra&gt;&lt;DBUID&gt;{4639BE48-E8DA-433D-936E-D6A27A715D41}&lt;/DBUID&gt;&lt;/Extra&gt;&lt;/Item&gt;&lt;/References&gt;&lt;/Group&gt;&lt;/Citation&gt;_x000a_"/>
    <w:docVar w:name="NE.Ref{32193940-8D1C-4975-9BD4-FC4128D3B3E3}" w:val=" ADDIN NE.Ref.{32193940-8D1C-4975-9BD4-FC4128D3B3E3}&lt;Citation&gt;&lt;Group&gt;&lt;References&gt;&lt;Item&gt;&lt;ID&gt;647&lt;/ID&gt;&lt;UID&gt;{D6F63881-4E44-419C-BEA2-57F1AB44D512}&lt;/UID&gt;&lt;Title&gt;Relationship between Pelvic Alignment and Weight-bearing Asymmetry in Community-dwelling Chronic Stroke Survivors&lt;/Title&gt;&lt;Template&gt;Journal Article&lt;/Template&gt;&lt;Star&gt;0&lt;/Star&gt;&lt;Tag&gt;0&lt;/Tag&gt;&lt;Author&gt;Karthikbabu, Suruliraj; Chakrapani, Mahabala; Ganesan, Sailakshmi; Ellajosyula, Ratnavalli&lt;/Author&gt;&lt;Year&gt;2016&lt;/Year&gt;&lt;Details&gt;&lt;_accession_num&gt;28163501&lt;/_accession_num&gt;&lt;_author_adr&gt;Department of Physiotherapy, School of Allied Health Sciences, Manipal  University, Manipal Hospital, Bengaluru, Karnataka, India.; Department of Medicine, Kasturba Medical College, Manipal University, Mangalore,  Karnataka, India.; Department of Physiotherapy, Spastics Society of Tamilnadu, Chennai, Tamil Nadu,  India.; Department of Neurology, Manipal Hospital, Bengaluru, Karnataka, India.&lt;/_author_adr&gt;&lt;_collection_scope&gt;ESCI&lt;/_collection_scope&gt;&lt;_created&gt;65949018&lt;/_created&gt;&lt;_date&gt;2016-12-01&lt;/_date&gt;&lt;_date_display&gt;2016 Dec&lt;/_date_display&gt;&lt;_db_updated&gt;PubMed&lt;/_db_updated&gt;&lt;_doi&gt;10.4103/0976-3147.196460&lt;/_doi&gt;&lt;_impact_factor&gt;   0.800&lt;/_impact_factor&gt;&lt;_isbn&gt;0976-3147 (Print); 0976-3155 (Electronic); 0976-3155 (Linking)&lt;/_isbn&gt;&lt;_issue&gt;Suppl 1&lt;/_issue&gt;&lt;_journal&gt;J Neurosci Rural Pract&lt;/_journal&gt;&lt;_keywords&gt;Motor recovery; pelvic alignment; stroke; weight-bearing asymmetry&lt;/_keywords&gt;&lt;_language&gt;eng&lt;/_language&gt;&lt;_modified&gt;65949018&lt;/_modified&gt;&lt;_pages&gt;S37-S40&lt;/_pages&gt;&lt;_social_category&gt;临床神经病学(4)&lt;/_social_category&gt;&lt;_tertiary_title&gt;Journal of neurosciences in rural practice&lt;/_tertiary_title&gt;&lt;_type_work&gt;Journal Article&lt;/_type_work&gt;&lt;_url&gt;http://www.ncbi.nlm.nih.gov/entrez/query.fcgi?cmd=Retrieve&amp;amp;db=pubmed&amp;amp;dopt=Abstract&amp;amp;list_uids=28163501&amp;amp;query_hl=1&lt;/_url&gt;&lt;_volume&gt;7&lt;/_volume&gt;&lt;/Details&gt;&lt;Extra&gt;&lt;DBUID&gt;{4639BE48-E8DA-433D-936E-D6A27A715D41}&lt;/DBUID&gt;&lt;/Extra&gt;&lt;/Item&gt;&lt;/References&gt;&lt;/Group&gt;&lt;/Citation&gt;_x000a_"/>
    <w:docVar w:name="NE.Ref{355E3F0D-E60E-4665-B4E9-97572276D25A}" w:val=" ADDIN NE.Ref.{355E3F0D-E60E-4665-B4E9-97572276D25A}&lt;Citation&gt;&lt;Group&gt;&lt;References&gt;&lt;Item&gt;&lt;ID&gt;672&lt;/ID&gt;&lt;UID&gt;{3EE05BAA-9027-463A-9620-6614969AFC7D}&lt;/UID&gt;&lt;Title&gt;Targeted Pelvic Constraint Force Induces Enhanced Use of the Paretic Leg During Walking in Persons Post-Stroke&lt;/Title&gt;&lt;Template&gt;Journal Article&lt;/Template&gt;&lt;Star&gt;0&lt;/Star&gt;&lt;Tag&gt;0&lt;/Tag&gt;&lt;Author&gt;Park, Seoung Hoon; Lin, Jui-Te; Dee, Weena; Hsu, Chao-Jung; Roth, Elliot J; Rymer, William Z; Wu, Ming&lt;/Author&gt;&lt;Year&gt;2020&lt;/Year&gt;&lt;Details&gt;&lt;_accession_num&gt;32816677&lt;/_accession_num&gt;&lt;_collection_scope&gt;SCIE;EI&lt;/_collection_scope&gt;&lt;_created&gt;65949055&lt;/_created&gt;&lt;_date&gt;2020-10-01&lt;/_date&gt;&lt;_date_display&gt;2020 Oct&lt;/_date_display&gt;&lt;_db_updated&gt;PubMed&lt;/_db_updated&gt;&lt;_doi&gt;10.1109/TNSRE.2020.3018397&lt;/_doi&gt;&lt;_impact_factor&gt;   4.800&lt;/_impact_factor&gt;&lt;_isbn&gt;1558-0210 (Electronic); 1534-4320 (Print); 1534-4320 (Linking)&lt;/_isbn&gt;&lt;_issue&gt;10&lt;/_issue&gt;&lt;_journal&gt;IEEE Trans Neural Syst Rehabil Eng&lt;/_journal&gt;&lt;_language&gt;eng&lt;/_language&gt;&lt;_modified&gt;65949055&lt;/_modified&gt;&lt;_pages&gt;2184-2193&lt;/_pages&gt;&lt;_social_category&gt;康复医学(1) &amp;amp; 工程：生物医学(2)&lt;/_social_category&gt;&lt;_subject_headings&gt;Biomechanical Phenomena; Gait; Humans; Leg; Paresis/etiology; Pelvis; *Stroke/complications; *Stroke Rehabilitation; Walking&lt;/_subject_headings&gt;&lt;_tertiary_title&gt;IEEE transactions on neural systems and rehabilitation engineering : a _x000d__x000a_      publication of the IEEE Engineering in Medicine and Biology Society&lt;/_tertiary_title&gt;&lt;_type_work&gt;Journal Article; Research Support, N.I.H., Extramural&lt;/_type_work&gt;&lt;_url&gt;http://www.ncbi.nlm.nih.gov/entrez/query.fcgi?cmd=Retrieve&amp;amp;db=pubmed&amp;amp;dopt=Abstract&amp;amp;list_uids=32816677&amp;amp;query_hl=1&lt;/_url&gt;&lt;_volume&gt;28&lt;/_volume&gt;&lt;/Details&gt;&lt;Extra&gt;&lt;DBUID&gt;{4639BE48-E8DA-433D-936E-D6A27A715D41}&lt;/DBUID&gt;&lt;/Extra&gt;&lt;/Item&gt;&lt;/References&gt;&lt;/Group&gt;&lt;/Citation&gt;_x000a_"/>
    <w:docVar w:name="NE.Ref{3B68F064-5886-4340-9C6D-FBB8A931199C}" w:val=" ADDIN NE.Ref.{3B68F064-5886-4340-9C6D-FBB8A931199C}&lt;Citation&gt;&lt;Group&gt;&lt;References&gt;&lt;Item&gt;&lt;ID&gt;642&lt;/ID&gt;&lt;UID&gt;{F7821F2D-D5F1-417E-B2E6-495EE2751FA8}&lt;/UID&gt;&lt;Title&gt;Patterns of asymmetry and energy cost generated from predictive simulations of hemiparetic gait&lt;/Title&gt;&lt;Template&gt;Journal Article&lt;/Template&gt;&lt;Star&gt;0&lt;/Star&gt;&lt;Tag&gt;0&lt;/Tag&gt;&lt;Author&gt;Johnson, Russell T; Bianco, Nicholas A; Finley, James M&lt;/Author&gt;&lt;Year&gt;2022&lt;/Year&gt;&lt;Details&gt;&lt;_accessed&gt;65949050&lt;/_accessed&gt;&lt;_accession_num&gt;36084139&lt;/_accession_num&gt;&lt;_author_adr&gt;Division of Biokinesiology and Physical Therapy, University of Southern  California, Los Angeles, California, United States of America.; Department of Mechanical Engineering, Stanford University, Palo Alto, California,  United States of America.; Division of Biokinesiology and Physical Therapy, University of Southern  California, Los Angeles, California, United States of America.; Department of Biomedical Engineering, University of Southern California, Los  Angeles, California, United States of America.; Neuroscience Graduate Program, University of Southern California, Los Angeles,  California, United States of America.&lt;/_author_adr&gt;&lt;_collection_scope&gt;SCIE;EI&lt;/_collection_scope&gt;&lt;_created&gt;65949013&lt;/_created&gt;&lt;_date&gt;2022-09-01&lt;/_date&gt;&lt;_date_display&gt;2022 Sep&lt;/_date_display&gt;&lt;_db_updated&gt;PubMed&lt;/_db_updated&gt;&lt;_doi&gt;10.1371/journal.pcbi.1010466&lt;/_doi&gt;&lt;_impact_factor&gt;   3.800&lt;/_impact_factor&gt;&lt;_isbn&gt;1553-7358 (Electronic); 1553-734X (Print); 1553-734X (Linking)&lt;/_isbn&gt;&lt;_issue&gt;9&lt;/_issue&gt;&lt;_journal&gt;PLoS Comput Biol&lt;/_journal&gt;&lt;_language&gt;eng&lt;/_language&gt;&lt;_modified&gt;65949050&lt;/_modified&gt;&lt;_pages&gt;e1010466&lt;/_pages&gt;&lt;_social_category&gt;生化研究方法(2) &amp;amp; 数学与计算生物学(2)&lt;/_social_category&gt;&lt;_subject_headings&gt;Computer Simulation; *Gait/physiology; Humans; Paresis; *Stroke; Walking/physiology&lt;/_subject_headings&gt;&lt;_tertiary_title&gt;PLoS computational biology&lt;/_tertiary_title&gt;&lt;_type_work&gt;Journal Article; Research Support, N.I.H., Extramural&lt;/_type_work&gt;&lt;_url&gt;http://www.ncbi.nlm.nih.gov/entrez/query.fcgi?cmd=Retrieve&amp;amp;db=pubmed&amp;amp;dopt=Abstract&amp;amp;list_uids=36084139&amp;amp;query_hl=1&lt;/_url&gt;&lt;_volume&gt;18&lt;/_volume&gt;&lt;/Details&gt;&lt;Extra&gt;&lt;DBUID&gt;{4639BE48-E8DA-433D-936E-D6A27A715D41}&lt;/DBUID&gt;&lt;/Extra&gt;&lt;/Item&gt;&lt;/References&gt;&lt;/Group&gt;&lt;/Citation&gt;_x000a_"/>
    <w:docVar w:name="NE.Ref{44229679-A993-48EF-B80D-F2F8EB5D0B1C}" w:val=" ADDIN NE.Ref.{44229679-A993-48EF-B80D-F2F8EB5D0B1C}&lt;Citation&gt;&lt;Group&gt;&lt;References&gt;&lt;Item&gt;&lt;ID&gt;658&lt;/ID&gt;&lt;UID&gt;{16D93319-16C1-40B7-914E-5DF395E55846}&lt;/UID&gt;&lt;Title&gt;Poststroke Fatigue Is Related to Motor and Cognitive Performance: A Secondary Analysis&lt;/Title&gt;&lt;Template&gt;Journal Article&lt;/Template&gt;&lt;Star&gt;0&lt;/Star&gt;&lt;Tag&gt;0&lt;/Tag&gt;&lt;Author&gt;Goh, Hui-Ting; Stewart, Jill C&lt;/Author&gt;&lt;Year&gt;2019&lt;/Year&gt;&lt;Details&gt;&lt;_accession_num&gt;31436613&lt;/_accession_num&gt;&lt;_author_adr&gt;School of Physical Therapy, Texas Woman&amp;apos;s University, Dallas (H.-T.G.); and  Physical Therapy Program, Department of Exercise Science, University of South  Carolina, Columbia (J.C.S.).&lt;/_author_adr&gt;&lt;_collection_scope&gt;SCIE&lt;/_collection_scope&gt;&lt;_created&gt;65949041&lt;/_created&gt;&lt;_date&gt;2019-10-01&lt;/_date&gt;&lt;_date_display&gt;2019 Oct&lt;/_date_display&gt;&lt;_db_updated&gt;PubMed&lt;/_db_updated&gt;&lt;_doi&gt;10.1097/NPT.0000000000000290&lt;/_doi&gt;&lt;_impact_factor&gt;   2.600&lt;/_impact_factor&gt;&lt;_isbn&gt;1557-0584 (Electronic); 1557-0576 (Print); 1557-0576 (Linking)&lt;/_isbn&gt;&lt;_issue&gt;4&lt;/_issue&gt;&lt;_journal&gt;J Neurol Phys Ther&lt;/_journal&gt;&lt;_language&gt;eng&lt;/_language&gt;&lt;_modified&gt;65949041&lt;/_modified&gt;&lt;_pages&gt;233-239&lt;/_pages&gt;&lt;_social_category&gt;临床神经病学(4) &amp;amp; 康复医学(4)&lt;/_social_category&gt;&lt;_subject_headings&gt;Aged; Choice Behavior/physiology; Cognition/*physiology; Fatigue/*etiology/physiopathology; Female; Humans; Male; Middle Aged; Neuropsychological Tests; Reaction Time/physiology; Stroke/*complications/physiopathology; *Stroke Rehabilitation&lt;/_subject_headings&gt;&lt;_tertiary_title&gt;Journal of neurologic physical therapy : JNPT&lt;/_tertiary_title&gt;&lt;_type_work&gt;Journal Article; Research Support, Non-U.S. Gov&amp;apos;t&lt;/_type_work&gt;&lt;_url&gt;http://www.ncbi.nlm.nih.gov/entrez/query.fcgi?cmd=Retrieve&amp;amp;db=pubmed&amp;amp;dopt=Abstract&amp;amp;list_uids=31436613&amp;amp;query_hl=1&lt;/_url&gt;&lt;_volume&gt;43&lt;/_volume&gt;&lt;/Details&gt;&lt;Extra&gt;&lt;DBUID&gt;{4639BE48-E8DA-433D-936E-D6A27A715D41}&lt;/DBUID&gt;&lt;/Extra&gt;&lt;/Item&gt;&lt;/References&gt;&lt;/Group&gt;&lt;/Citation&gt;_x000a_"/>
    <w:docVar w:name="NE.Ref{4B9BAF19-24EB-4899-91FA-E8BC6E63EA12}" w:val=" ADDIN NE.Ref.{4B9BAF19-24EB-4899-91FA-E8BC6E63EA12}&lt;Citation&gt;&lt;Group&gt;&lt;References&gt;&lt;Item&gt;&lt;ID&gt;645&lt;/ID&gt;&lt;UID&gt;{5A3F3CBC-4BA3-4803-91FE-5BAEE34B70CF}&lt;/UID&gt;&lt;Title&gt;Reduced ambulatory activity after stroke: the role of balance, gait, and cardiovascular fitness&lt;/Title&gt;&lt;Template&gt;Journal Article&lt;/Template&gt;&lt;Star&gt;0&lt;/Star&gt;&lt;Tag&gt;0&lt;/Tag&gt;&lt;Author&gt;Michael, Kathleen M; Allen, Jerilyn K; Macko, Richard F&lt;/Author&gt;&lt;Year&gt;2005&lt;/Year&gt;&lt;Details&gt;&lt;_accessed&gt;65949040&lt;/_accessed&gt;&lt;_accession_num&gt;16084807&lt;/_accession_num&gt;&lt;_author_adr&gt;Division of Gerontology, University of Maryland School of Medicine, Baltimore, MD  21201, USA. kmichael@grecc.umaryland.edu&lt;/_author_adr&gt;&lt;_collection_scope&gt;SCIE&lt;/_collection_scope&gt;&lt;_created&gt;65949016&lt;/_created&gt;&lt;_date&gt;2005-08-01&lt;/_date&gt;&lt;_date_display&gt;2005 Aug&lt;/_date_display&gt;&lt;_db_updated&gt;PubMed&lt;/_db_updated&gt;&lt;_doi&gt;10.1016/j.apmr.2004.12.026&lt;/_doi&gt;&lt;_impact_factor&gt;   3.600&lt;/_impact_factor&gt;&lt;_isbn&gt;0003-9993 (Print); 0003-9993 (Linking)&lt;/_isbn&gt;&lt;_issue&gt;8&lt;/_issue&gt;&lt;_journal&gt;Arch Phys Med Rehabil&lt;/_journal&gt;&lt;_language&gt;eng&lt;/_language&gt;&lt;_modified&gt;65949040&lt;/_modified&gt;&lt;_pages&gt;1552-6&lt;/_pages&gt;&lt;_social_category&gt;康复医学(2) &amp;amp; 运动科学(3)&lt;/_social_category&gt;&lt;_subject_headings&gt;Aged; Aged, 80 and over; Disability Evaluation; Female; Gait/*physiology; Hemiplegia/*physiopathology/*rehabilitation; Humans; Linear Models; Male; Middle Aged; *Physical Fitness; Postural Balance/*physiology; Stroke/*physiopathology; *Stroke Rehabilitation&lt;/_subject_headings&gt;&lt;_tertiary_title&gt;Archives of physical medicine and rehabilitation&lt;/_tertiary_title&gt;&lt;_type_work&gt;Journal Article; Research Support, N.I.H., Extramural; Research Support, U.S. Gov&amp;apos;t, P.H.S.&lt;/_type_work&gt;&lt;_url&gt;http://www.ncbi.nlm.nih.gov/entrez/query.fcgi?cmd=Retrieve&amp;amp;db=pubmed&amp;amp;dopt=Abstract&amp;amp;list_uids=16084807&amp;amp;query_hl=1&lt;/_url&gt;&lt;_volume&gt;86&lt;/_volume&gt;&lt;/Details&gt;&lt;Extra&gt;&lt;DBUID&gt;{4639BE48-E8DA-433D-936E-D6A27A715D41}&lt;/DBUID&gt;&lt;/Extra&gt;&lt;/Item&gt;&lt;/References&gt;&lt;/Group&gt;&lt;/Citation&gt;_x000a_"/>
    <w:docVar w:name="NE.Ref{4CEC49B4-6DFB-4D76-938B-4F0A1D410016}" w:val=" ADDIN NE.Ref.{4CEC49B4-6DFB-4D76-938B-4F0A1D410016}&lt;Citation&gt;&lt;Group&gt;&lt;References&gt;&lt;Item&gt;&lt;ID&gt;668&lt;/ID&gt;&lt;UID&gt;{182CDE97-9760-4AF4-BB8F-7A868DD79882}&lt;/UID&gt;&lt;Title&gt;Restriction of pelvic lateral and rotational motions alters lower limb kinematics and muscle activation pattern during over-ground walking&lt;/Title&gt;&lt;Template&gt;Journal Article&lt;/Template&gt;&lt;Star&gt;0&lt;/Star&gt;&lt;Tag&gt;0&lt;/Tag&gt;&lt;Author&gt;Mun, Kyung-Ryoul; Guo, Zhao; Yu, Haoyong&lt;/Author&gt;&lt;Year&gt;2016&lt;/Year&gt;&lt;Details&gt;&lt;_accession_num&gt;26830107&lt;/_accession_num&gt;&lt;_author_adr&gt;Department of Biomedical Engineering, National University of Singapore, 9  Engineering Drive 1, Singapore, 117575, Republic of Singapore.; Department of Biomedical Engineering, National University of Singapore, 9  Engineering Drive 1, Singapore, 117575, Republic of Singapore.; Department of Biomedical Engineering, National University of Singapore, 9  Engineering Drive 1, Singapore, 117575, Republic of Singapore. bieyhy@nus.edu.sg.&lt;/_author_adr&gt;&lt;_date_display&gt;2016 Nov&lt;/_date_display&gt;&lt;_date&gt;2016-11-01&lt;/_date&gt;&lt;_doi&gt;10.1007/s11517-016-1450-8&lt;/_doi&gt;&lt;_isbn&gt;1741-0444 (Electronic); 0140-0118 (Linking)&lt;/_isbn&gt;&lt;_issue&gt;11&lt;/_issue&gt;&lt;_journal&gt;Med Biol Eng Comput&lt;/_journal&gt;&lt;_keywords&gt;Gait training; Over-ground walking; Pelvic lateral and rotational movements; Pelvic motion restriction; Robotic gait rehabilitation&lt;/_keywords&gt;&lt;_language&gt;eng&lt;/_language&gt;&lt;_pages&gt;1621-1629&lt;/_pages&gt;&lt;_subject_headings&gt;Adult; Biomechanical Phenomena; Electromyography; Gait/physiology; Humans; Lower Extremity/*physiology; *Motion; Muscle, Skeletal/*physiology; Pelvis/*physiology; Range of Motion, Articular/physiology; *Rotation; Walking/*physiology&lt;/_subject_headings&gt;&lt;_tertiary_title&gt;Medical &amp;amp; biological engineering &amp;amp; computing&lt;/_tertiary_title&gt;&lt;_type_work&gt;Clinical Trial; Journal Article&lt;/_type_work&gt;&lt;_url&gt;http://www.ncbi.nlm.nih.gov/entrez/query.fcgi?cmd=Retrieve&amp;amp;db=pubmed&amp;amp;dopt=Abstract&amp;amp;list_uids=26830107&amp;amp;query_hl=1&lt;/_url&gt;&lt;_volume&gt;54&lt;/_volume&gt;&lt;_created&gt;65949052&lt;/_created&gt;&lt;_modified&gt;65949052&lt;/_modified&gt;&lt;_db_updated&gt;PubMed&lt;/_db_updated&gt;&lt;_impact_factor&gt;   2.600&lt;/_impact_factor&gt;&lt;_social_category&gt;数学与计算生物学(3) &amp;amp; 计算机：跨学科应用(4) &amp;amp; 工程：生物医学(4) &amp;amp; 医学：信息(4)&lt;/_social_category&gt;&lt;_collection_scope&gt;SCIE;EI&lt;/_collection_scope&gt;&lt;/Details&gt;&lt;Extra&gt;&lt;DBUID&gt;{4639BE48-E8DA-433D-936E-D6A27A715D41}&lt;/DBUID&gt;&lt;/Extra&gt;&lt;/Item&gt;&lt;/References&gt;&lt;/Group&gt;&lt;/Citation&gt;_x000a_"/>
    <w:docVar w:name="NE.Ref{55D9538D-AB49-4F6F-B891-F76265A1165C}" w:val=" ADDIN NE.Ref.{55D9538D-AB49-4F6F-B891-F76265A1165C}&lt;Citation&gt;&lt;Group&gt;&lt;References&gt;&lt;Item&gt;&lt;ID&gt;652&lt;/ID&gt;&lt;UID&gt;{5ADD0935-077B-4CB3-8823-E645B856EF0F}&lt;/UID&gt;&lt;Title&gt;Deficits in intersegmental trunk coordination during walking are related to clinical balance and gait function in chronic stroke&lt;/Title&gt;&lt;Template&gt;Journal Article&lt;/Template&gt;&lt;Star&gt;0&lt;/Star&gt;&lt;Tag&gt;0&lt;/Tag&gt;&lt;Author&gt;Hacmon, Revital R; Krasovsky, Tal; Lamontagne, Anouk; Levin, Mindy F&lt;/Author&gt;&lt;Year&gt;2012&lt;/Year&gt;&lt;Details&gt;&lt;_accession_num&gt;23095903&lt;/_accession_num&gt;&lt;_author_adr&gt;School of Physical and Occupational Therapy, McGill University, Montreal, and  Center for Interdisciplinary Research in Rehabilitation, Feil and Oberfeld  Research Center, Jewish Rehabilitation Hospital, Laval, Quebec, Canada.&lt;/_author_adr&gt;&lt;_collection_scope&gt;SCIE&lt;/_collection_scope&gt;&lt;_created&gt;65949029&lt;/_created&gt;&lt;_date&gt;2012-12-01&lt;/_date&gt;&lt;_date_display&gt;2012 Dec&lt;/_date_display&gt;&lt;_db_updated&gt;PubMed&lt;/_db_updated&gt;&lt;_doi&gt;10.1097/NPT.0b013e31827374c1&lt;/_doi&gt;&lt;_impact_factor&gt;   2.600&lt;/_impact_factor&gt;&lt;_isbn&gt;1557-0584 (Electronic); 1557-0576 (Linking)&lt;/_isbn&gt;&lt;_issue&gt;4&lt;/_issue&gt;&lt;_journal&gt;J Neurol Phys Ther&lt;/_journal&gt;&lt;_language&gt;eng&lt;/_language&gt;&lt;_modified&gt;65949029&lt;/_modified&gt;&lt;_pages&gt;173-81&lt;/_pages&gt;&lt;_social_category&gt;临床神经病学(4) &amp;amp; 康复医学(4)&lt;/_social_category&gt;&lt;_subject_headings&gt;Aged; Biomechanical Phenomena/physiology; Exercise Test; Female; Gait/*physiology; Humans; Male; Middle Aged; Postural Balance/*physiology; Range of Motion, Articular/physiology; Stroke/*physiopathology; Walking/*physiology&lt;/_subject_headings&gt;&lt;_tertiary_title&gt;Journal of neurologic physical therapy : JNPT&lt;/_tertiary_title&gt;&lt;_type_work&gt;Journal Article; Research Support, Non-U.S. Gov&amp;apos;t&lt;/_type_work&gt;&lt;_url&gt;http://www.ncbi.nlm.nih.gov/entrez/query.fcgi?cmd=Retrieve&amp;amp;db=pubmed&amp;amp;dopt=Abstract&amp;amp;list_uids=23095903&amp;amp;query_hl=1&lt;/_url&gt;&lt;_volume&gt;36&lt;/_volume&gt;&lt;/Details&gt;&lt;Extra&gt;&lt;DBUID&gt;{4639BE48-E8DA-433D-936E-D6A27A715D41}&lt;/DBUID&gt;&lt;/Extra&gt;&lt;/Item&gt;&lt;/References&gt;&lt;/Group&gt;&lt;Group&gt;&lt;References&gt;&lt;Item&gt;&lt;ID&gt;651&lt;/ID&gt;&lt;UID&gt;{60F7E734-7E9F-430C-BC60-11B8132F7D86}&lt;/UID&gt;&lt;Title&gt;Can We Target Close Therapeutic Goals in the Gait Re-Education Algorithm for  Stroke Patients at the Beginning of the Rehabilitation Process?&lt;/Title&gt;&lt;Template&gt;Journal Article&lt;/Template&gt;&lt;Star&gt;0&lt;/Star&gt;&lt;Tag&gt;0&lt;/Tag&gt;&lt;Author&gt;Warenczak-Pawlicka, Agnieszka; Lisinski, Przemyslaw&lt;/Author&gt;&lt;Year&gt;2024&lt;/Year&gt;&lt;Details&gt;&lt;_accession_num&gt;38894207&lt;/_accession_num&gt;&lt;_author_adr&gt;Department of Rehabilitation and Physiotherapy, University of Medical Sciences,  28 Czerwca 1956 Str., No 135/147, 60-545 Poznan, Poland.; Department of Rehabilitation and Physiotherapy, University of Medical Sciences,  28 Czerwca 1956 Str., No 135/147, 60-545 Poznan, Poland.&lt;/_author_adr&gt;&lt;_collection_scope&gt;SCIE;EI&lt;/_collection_scope&gt;&lt;_created&gt;65949027&lt;/_created&gt;&lt;_date&gt;2024-05-25&lt;/_date&gt;&lt;_date_display&gt;2024 May 25&lt;/_date_display&gt;&lt;_db_updated&gt;PubMed&lt;/_db_updated&gt;&lt;_doi&gt;10.3390/s24113416&lt;/_doi&gt;&lt;_impact_factor&gt;   3.400&lt;/_impact_factor&gt;&lt;_isbn&gt;1424-8220 (Electronic); 1424-8220 (Linking)&lt;/_isbn&gt;&lt;_issue&gt;11&lt;/_issue&gt;&lt;_journal&gt;Sensors (Basel)&lt;/_journal&gt;&lt;_keywords&gt;gait; joint position sense; knee function; knee kinematics; stroke; wireless sensors&lt;/_keywords&gt;&lt;_language&gt;eng&lt;/_language&gt;&lt;_modified&gt;65949027&lt;/_modified&gt;&lt;_social_category&gt;分析化学(3) &amp;amp; 工程：电子与电气(3) &amp;amp; 仪器仪表(3)&lt;/_social_category&gt;&lt;_subject_headings&gt;Humans; *Stroke Rehabilitation/methods; Male; Female; Middle Aged; *Gait/physiology; *Stroke/physiopathology; *Algorithms; Aged; Knee Joint/physiopathology; Range of Motion, Articular/physiology; Adult&lt;/_subject_headings&gt;&lt;_tertiary_title&gt;Sensors (Basel, Switzerland)&lt;/_tertiary_title&gt;&lt;_type_work&gt;Journal Article&lt;/_type_work&gt;&lt;_url&gt;http://www.ncbi.nlm.nih.gov/entrez/query.fcgi?cmd=Retrieve&amp;amp;db=pubmed&amp;amp;dopt=Abstract&amp;amp;list_uids=38894207&amp;amp;query_hl=1&lt;/_url&gt;&lt;_volume&gt;24&lt;/_volume&gt;&lt;/Details&gt;&lt;Extra&gt;&lt;DBUID&gt;{4639BE48-E8DA-433D-936E-D6A27A715D41}&lt;/DBUID&gt;&lt;/Extra&gt;&lt;/Item&gt;&lt;/References&gt;&lt;/Group&gt;&lt;/Citation&gt;_x000a_"/>
    <w:docVar w:name="NE.Ref{5E842E08-D57A-4F44-A545-311A82279EAE}" w:val=" ADDIN NE.Ref.{5E842E08-D57A-4F44-A545-311A82279EAE}&lt;Citation&gt;&lt;Group&gt;&lt;References&gt;&lt;Item&gt;&lt;ID&gt;670&lt;/ID&gt;&lt;UID&gt;{A90A2A2C-5FB8-4F49-8D6A-4613618E9752}&lt;/UID&gt;&lt;Title&gt;The effect of pelvic movements of a gait training system for stroke patients: a single blind, randomized, parallel study&lt;/Title&gt;&lt;Template&gt;Journal Article&lt;/Template&gt;&lt;Star&gt;0&lt;/Star&gt;&lt;Tag&gt;0&lt;/Tag&gt;&lt;Author&gt;Son, Choonghyun; Lee, Anna; Lee, Junkyung; Kim, DaeEun; Kim, Seung-Jong; Chun, Min Ho; Choi, Junho&lt;/Author&gt;&lt;Year&gt;2021&lt;/Year&gt;&lt;Details&gt;&lt;_accession_num&gt;34961541&lt;/_accession_num&gt;&lt;_author_adr&gt;The Center for Bionics, Korea Institute of Science and Technology, 5, Hwarang-ro  14-gil, Seungbuk-gu, Seoul, 02792, Republic of Korea.; Department of Electrical and Electonic Engineering, Yonsei university, 50,  Yonsei-ro, Seodeamun-gu, Seoul, 03722, Republic of Korea.; Department of Rehabilitation Medicine, Asan Medical Center, University of Ulsan  College of Medicine, 88, Olympic-ro 43-gil, Songpa-gu, Seoul, 05505, Republic of  Korea.; Hallym University Dongtan Sacred Heart Hospital, 7, Keunjaebong-gil, Hwaseong-si,  Gyeonggi-do, 18450, Republic of Korea.; Department of Electrical and Electonic Engineering, Yonsei university, 50,  Yonsei-ro, Seodeamun-gu, Seoul, 03722, Republic of Korea.; Department for Biomedical Engineering, Korea University College of Medicine, 73,  Goryeodae-ro, Seongbuk-gu, Seoul, 02841, Republic of Korea.; Department of Rehabilitation Medicine, Asan Medical Center, University of Ulsan  College of Medicine, 88, Olympic-ro 43-gil, Songpa-gu, Seoul, 05505, Republic of  Korea.; The Center for Bionics, Korea Institute of Science and Technology, 5, Hwarang-ro  14-gil, Seungbuk-gu, Seoul, 02792, Republic of Korea. junhochoi@kist.re.kr.&lt;/_author_adr&gt;&lt;_collection_scope&gt;SCIE&lt;/_collection_scope&gt;&lt;_created&gt;65949054&lt;/_created&gt;&lt;_date&gt;2021-12-28&lt;/_date&gt;&lt;_date_display&gt;2021 Dec 28&lt;/_date_display&gt;&lt;_db_updated&gt;PubMed&lt;/_db_updated&gt;&lt;_doi&gt;10.1186/s12984-021-00964-7&lt;/_doi&gt;&lt;_impact_factor&gt;   5.200&lt;/_impact_factor&gt;&lt;_isbn&gt;1743-0003 (Electronic); 1743-0003 (Linking)&lt;/_isbn&gt;&lt;_issue&gt;1&lt;/_issue&gt;&lt;_journal&gt;J Neuroeng Rehabil&lt;/_journal&gt;&lt;_keywords&gt;*Exoskeleton; *Gait training; *Pelvic movement; *Rehabilitation; *Stroke&lt;/_keywords&gt;&lt;_language&gt;eng&lt;/_language&gt;&lt;_modified&gt;65949054&lt;/_modified&gt;&lt;_ori_publication&gt;(c) 2021. The Author(s).&lt;/_ori_publication&gt;&lt;_pages&gt;185&lt;/_pages&gt;&lt;_social_category&gt;康复医学(1) &amp;amp; 工程：生物医学(2) &amp;amp; 神经科学(2)&lt;/_social_category&gt;&lt;_subject_headings&gt;Biomechanical Phenomena; Gait/physiology; Humans; Pelvis/physiology; Single-Blind Method; *Stroke/complications; *Stroke Rehabilitation; Walking/physiology&lt;/_subject_headings&gt;&lt;_tertiary_title&gt;Journal of neuroengineering and rehabilitation&lt;/_tertiary_title&gt;&lt;_type_work&gt;Journal Article; Randomized Controlled Trial; Research Support, Non-U.S. Gov&amp;apos;t&lt;/_type_work&gt;&lt;_url&gt;http://www.ncbi.nlm.nih.gov/entrez/query.fcgi?cmd=Retrieve&amp;amp;db=pubmed&amp;amp;dopt=Abstract&amp;amp;list_uids=34961541&amp;amp;query_hl=1&lt;/_url&gt;&lt;_volume&gt;18&lt;/_volume&gt;&lt;/Details&gt;&lt;Extra&gt;&lt;DBUID&gt;{4639BE48-E8DA-433D-936E-D6A27A715D41}&lt;/DBUID&gt;&lt;/Extra&gt;&lt;/Item&gt;&lt;/References&gt;&lt;/Group&gt;&lt;Group&gt;&lt;References&gt;&lt;Item&gt;&lt;ID&gt;671&lt;/ID&gt;&lt;UID&gt;{89167705-3307-48C9-A413-DB819B58FA04}&lt;/UID&gt;&lt;Title&gt;Gradual adaptation to pelvis perturbation during walking reinforces motor learning of weight shift toward the paretic side in individuals post-stroke&lt;/Title&gt;&lt;Template&gt;Journal Article&lt;/Template&gt;&lt;Star&gt;0&lt;/Star&gt;&lt;Tag&gt;0&lt;/Tag&gt;&lt;Author&gt;Park, Seoung Hoon; Hsu, Chao-Jung; Dee, Weena; Roth, Elliot J; Rymer, William Z; Wu, Ming&lt;/Author&gt;&lt;Year&gt;2021&lt;/Year&gt;&lt;Details&gt;&lt;_accession_num&gt;33779790&lt;/_accession_num&gt;&lt;_author_adr&gt;Legs and Walking Lab, Shirley Ryan AbilityLab, 355 E. Erie Street, 23rd floor,  Chicago, IL, 60611, USA.; Department of Physical Medicine and Rehabilitation, Northwestern University,  Chicago, IL, USA.; Legs and Walking Lab, Shirley Ryan AbilityLab, 355 E. Erie Street, 23rd floor,  Chicago, IL, 60611, USA.; Legs and Walking Lab, Shirley Ryan AbilityLab, 355 E. Erie Street, 23rd floor,  Chicago, IL, 60611, USA.; Legs and Walking Lab, Shirley Ryan AbilityLab, 355 E. Erie Street, 23rd floor,  Chicago, IL, 60611, USA.; Department of Physical Medicine and Rehabilitation, Northwestern University,  Chicago, IL, USA.; Legs and Walking Lab, Shirley Ryan AbilityLab, 355 E. Erie Street, 23rd floor,  Chicago, IL, 60611, USA.; Department of Physical Medicine and Rehabilitation, Northwestern University,  Chicago, IL, USA.; Legs and Walking Lab, Shirley Ryan AbilityLab, 355 E. Erie Street, 23rd floor,  Chicago, IL, 60611, USA. w-ming@northwestern.edu.; Department of Physical Medicine and Rehabilitation, Northwestern University,  Chicago, IL, USA. w-ming@northwestern.edu.; Department of Bioengineering, University of Illinois at Chicago, Chicago, IL,  USA. w-ming@northwestern.edu.&lt;/_author_adr&gt;&lt;_collection_scope&gt;SCIE&lt;/_collection_scope&gt;&lt;_created&gt;65949055&lt;/_created&gt;&lt;_date&gt;2021-06-01&lt;/_date&gt;&lt;_date_display&gt;2021 Jun&lt;/_date_display&gt;&lt;_db_updated&gt;PubMed&lt;/_db_updated&gt;&lt;_doi&gt;10.1007/s00221-021-06092-x&lt;/_doi&gt;&lt;_impact_factor&gt;   1.700&lt;/_impact_factor&gt;&lt;_isbn&gt;1432-1106 (Electronic); 0014-4819 (Print); 0014-4819 (Linking)&lt;/_isbn&gt;&lt;_issue&gt;6&lt;/_issue&gt;&lt;_journal&gt;Exp Brain Res&lt;/_journal&gt;&lt;_keywords&gt;Constraint induced movement therapy; Forced use; Locomotion; Motor learning; Stroke&lt;/_keywords&gt;&lt;_language&gt;eng&lt;/_language&gt;&lt;_modified&gt;65949055&lt;/_modified&gt;&lt;_ori_publication&gt;(c) 2021. The Author(s), under exclusive licence to Springer-Verlag GmbH Germany, _x000d__x000a_      part of Springer Nature.&lt;/_ori_publication&gt;&lt;_pages&gt;1701-1713&lt;/_pages&gt;&lt;_social_category&gt;神经科学(4)&lt;/_social_category&gt;&lt;_subject_headings&gt;Biomechanical Phenomena; Gait; Humans; Paresis; Pelvis; *Stroke/complications; *Stroke Rehabilitation; Walking&lt;/_subject_headings&gt;&lt;_tertiary_title&gt;Experimental brain research&lt;/_tertiary_title&gt;&lt;_type_work&gt;Journal Article&lt;/_type_work&gt;&lt;_url&gt;http://www.ncbi.nlm.nih.gov/entrez/query.fcgi?cmd=Retrieve&amp;amp;db=pubmed&amp;amp;dopt=Abstract&amp;amp;list_uids=33779790&amp;amp;query_hl=1&lt;/_url&gt;&lt;_volume&gt;239&lt;/_volume&gt;&lt;/Details&gt;&lt;Extra&gt;&lt;DBUID&gt;{4639BE48-E8DA-433D-936E-D6A27A715D41}&lt;/DBUID&gt;&lt;/Extra&gt;&lt;/Item&gt;&lt;/References&gt;&lt;/Group&gt;&lt;/Citation&gt;_x000a_"/>
    <w:docVar w:name="NE.Ref{648540DC-8ADB-4752-94B1-16DCED2FC993}" w:val=" ADDIN NE.Ref.{648540DC-8ADB-4752-94B1-16DCED2FC993}&lt;Citation&gt;&lt;Group&gt;&lt;References&gt;&lt;Item&gt;&lt;ID&gt;645&lt;/ID&gt;&lt;UID&gt;{5A3F3CBC-4BA3-4803-91FE-5BAEE34B70CF}&lt;/UID&gt;&lt;Title&gt;Reduced ambulatory activity after stroke: the role of balance, gait, and cardiovascular fitness&lt;/Title&gt;&lt;Template&gt;Journal Article&lt;/Template&gt;&lt;Star&gt;0&lt;/Star&gt;&lt;Tag&gt;0&lt;/Tag&gt;&lt;Author&gt;Michael, Kathleen M; Allen, Jerilyn K; Macko, Richard F&lt;/Author&gt;&lt;Year&gt;2005&lt;/Year&gt;&lt;Details&gt;&lt;_accession_num&gt;16084807&lt;/_accession_num&gt;&lt;_author_adr&gt;Division of Gerontology, University of Maryland School of Medicine, Baltimore, MD  21201, USA. kmichael@grecc.umaryland.edu&lt;/_author_adr&gt;&lt;_date_display&gt;2005 Aug&lt;/_date_display&gt;&lt;_date&gt;2005-08-01&lt;/_date&gt;&lt;_doi&gt;10.1016/j.apmr.2004.12.026&lt;/_doi&gt;&lt;_isbn&gt;0003-9993 (Print); 0003-9993 (Linking)&lt;/_isbn&gt;&lt;_issue&gt;8&lt;/_issue&gt;&lt;_journal&gt;Arch Phys Med Rehabil&lt;/_journal&gt;&lt;_language&gt;eng&lt;/_language&gt;&lt;_pages&gt;1552-6&lt;/_pages&gt;&lt;_subject_headings&gt;Aged; Aged, 80 and over; Disability Evaluation; Female; Gait/*physiology; Hemiplegia/*physiopathology/*rehabilitation; Humans; Linear Models; Male; Middle Aged; *Physical Fitness; Postural Balance/*physiology; Stroke/*physiopathology; *Stroke Rehabilitation&lt;/_subject_headings&gt;&lt;_tertiary_title&gt;Archives of physical medicine and rehabilitation&lt;/_tertiary_title&gt;&lt;_type_work&gt;Journal Article; Research Support, N.I.H., Extramural; Research Support, U.S. Gov&amp;apos;t, P.H.S.&lt;/_type_work&gt;&lt;_url&gt;http://www.ncbi.nlm.nih.gov/entrez/query.fcgi?cmd=Retrieve&amp;amp;db=pubmed&amp;amp;dopt=Abstract&amp;amp;list_uids=16084807&amp;amp;query_hl=1&lt;/_url&gt;&lt;_volume&gt;86&lt;/_volume&gt;&lt;_created&gt;65949016&lt;/_created&gt;&lt;_modified&gt;65949016&lt;/_modified&gt;&lt;_db_updated&gt;PubMed&lt;/_db_updated&gt;&lt;_impact_factor&gt;   3.600&lt;/_impact_factor&gt;&lt;_social_category&gt;康复医学(2) &amp;amp; 运动科学(3)&lt;/_social_category&gt;&lt;_collection_scope&gt;SCIE&lt;/_collection_scope&gt;&lt;/Details&gt;&lt;Extra&gt;&lt;DBUID&gt;{4639BE48-E8DA-433D-936E-D6A27A715D41}&lt;/DBUID&gt;&lt;/Extra&gt;&lt;/Item&gt;&lt;/References&gt;&lt;/Group&gt;&lt;/Citation&gt;_x000a_"/>
    <w:docVar w:name="NE.Ref{67DB5CA0-D6C8-4213-B08E-4A4FB573682B}" w:val=" ADDIN NE.Ref.{67DB5CA0-D6C8-4213-B08E-4A4FB573682B}&lt;Citation&gt;&lt;Group&gt;&lt;References&gt;&lt;Item&gt;&lt;ID&gt;669&lt;/ID&gt;&lt;UID&gt;{7BEA8528-35AC-4B5F-990A-AC61D8ABA5CE}&lt;/UID&gt;&lt;Title&gt;Pelvic Belt Wearing during Exercise Improves Balance of Patients with Stroke: A Randomized, Controlled, Preliminary Trial&lt;/Title&gt;&lt;Template&gt;Journal Article&lt;/Template&gt;&lt;Star&gt;0&lt;/Star&gt;&lt;Tag&gt;0&lt;/Tag&gt;&lt;Author&gt;Choi, Yoon-Hee; Son, Sung-Min; Cha, Yong-Jun&lt;/Author&gt;&lt;Year&gt;2021&lt;/Year&gt;&lt;Details&gt;&lt;_accession_num&gt;34000608&lt;/_accession_num&gt;&lt;_author_adr&gt;Department of Physical Therapy, College of Health and Medical Science, Daejeon  University, Republic of Korea.; Department of Physical Therapy, College of Health and Medical Science, Cheongju  University, Republic of Korea.; Department of Physical Therapy, College of Health and Medical Science, Daejeon  University, Republic of Korea. Electronic address: cha0874@gmail.com.&lt;/_author_adr&gt;&lt;_collection_scope&gt;SCIE&lt;/_collection_scope&gt;&lt;_created&gt;65949053&lt;/_created&gt;&lt;_date&gt;2021-08-01&lt;/_date&gt;&lt;_date_display&gt;2021 Aug&lt;/_date_display&gt;&lt;_db_updated&gt;PubMed&lt;/_db_updated&gt;&lt;_doi&gt;10.1016/j.jstrokecerebrovasdis.2021.105820&lt;/_doi&gt;&lt;_impact_factor&gt;   2.000&lt;/_impact_factor&gt;&lt;_isbn&gt;1532-8511 (Electronic); 1052-3057 (Linking)&lt;/_isbn&gt;&lt;_issue&gt;8&lt;/_issue&gt;&lt;_journal&gt;J Stroke Cerebrovasc Dis&lt;/_journal&gt;&lt;_keywords&gt;Balance; Pelvic belt; Postural control; Stroke; trunk stability exercise&lt;/_keywords&gt;&lt;_language&gt;eng&lt;/_language&gt;&lt;_modified&gt;65949053&lt;/_modified&gt;&lt;_ori_publication&gt;Copyright (c) 2021 Elsevier Inc. All rights reserved.&lt;/_ori_publication&gt;&lt;_pages&gt;105820&lt;/_pages&gt;&lt;_social_category&gt;神经科学(4) &amp;amp; 外周血管病(4)&lt;/_social_category&gt;&lt;_subject_headings&gt;Aged; Aged, 80 and over; Disability Evaluation; Exercise Therapy/*instrumentation; Female; Functional Status; Humans; Male; Middle Aged; Pilot Projects; *Postural Balance; Recovery of Function; Stroke/diagnosis/physiopathology/*therapy; Stroke Rehabilitation/*instrumentation; Time Factors; Treatment Outcome&lt;/_subject_headings&gt;&lt;_tertiary_title&gt;Journal of stroke and cerebrovascular diseases : the official journal of National _x000d__x000a_      Stroke Association&lt;/_tertiary_title&gt;&lt;_type_work&gt;Journal Article; Randomized Controlled Trial&lt;/_type_work&gt;&lt;_url&gt;http://www.ncbi.nlm.nih.gov/entrez/query.fcgi?cmd=Retrieve&amp;amp;db=pubmed&amp;amp;dopt=Abstract&amp;amp;list_uids=34000608&amp;amp;query_hl=1&lt;/_url&gt;&lt;_volume&gt;30&lt;/_volume&gt;&lt;/Details&gt;&lt;Extra&gt;&lt;DBUID&gt;{4639BE48-E8DA-433D-936E-D6A27A715D41}&lt;/DBUID&gt;&lt;/Extra&gt;&lt;/Item&gt;&lt;/References&gt;&lt;/Group&gt;&lt;/Citation&gt;_x000a_"/>
    <w:docVar w:name="NE.Ref{6FEF9AE2-ABB3-4C51-95B0-957855EDC14C}" w:val=" ADDIN NE.Ref.{6FEF9AE2-ABB3-4C51-95B0-957855EDC14C}&lt;Citation&gt;&lt;Group&gt;&lt;References&gt;&lt;Item&gt;&lt;ID&gt;645&lt;/ID&gt;&lt;UID&gt;{5A3F3CBC-4BA3-4803-91FE-5BAEE34B70CF}&lt;/UID&gt;&lt;Title&gt;Reduced ambulatory activity after stroke: the role of balance, gait, and cardiovascular fitness&lt;/Title&gt;&lt;Template&gt;Journal Article&lt;/Template&gt;&lt;Star&gt;0&lt;/Star&gt;&lt;Tag&gt;0&lt;/Tag&gt;&lt;Author&gt;Michael, Kathleen M; Allen, Jerilyn K; Macko, Richard F&lt;/Author&gt;&lt;Year&gt;2005&lt;/Year&gt;&lt;Details&gt;&lt;_accessed&gt;65949040&lt;/_accessed&gt;&lt;_accession_num&gt;16084807&lt;/_accession_num&gt;&lt;_author_adr&gt;Division of Gerontology, University of Maryland School of Medicine, Baltimore, MD  21201, USA. kmichael@grecc.umaryland.edu&lt;/_author_adr&gt;&lt;_collection_scope&gt;SCIE&lt;/_collection_scope&gt;&lt;_created&gt;65949016&lt;/_created&gt;&lt;_date&gt;2005-08-01&lt;/_date&gt;&lt;_date_display&gt;2005 Aug&lt;/_date_display&gt;&lt;_db_updated&gt;PubMed&lt;/_db_updated&gt;&lt;_doi&gt;10.1016/j.apmr.2004.12.026&lt;/_doi&gt;&lt;_impact_factor&gt;   3.600&lt;/_impact_factor&gt;&lt;_isbn&gt;0003-9993 (Print); 0003-9993 (Linking)&lt;/_isbn&gt;&lt;_issue&gt;8&lt;/_issue&gt;&lt;_journal&gt;Arch Phys Med Rehabil&lt;/_journal&gt;&lt;_language&gt;eng&lt;/_language&gt;&lt;_modified&gt;65949040&lt;/_modified&gt;&lt;_pages&gt;1552-6&lt;/_pages&gt;&lt;_social_category&gt;康复医学(2) &amp;amp; 运动科学(3)&lt;/_social_category&gt;&lt;_subject_headings&gt;Aged; Aged, 80 and over; Disability Evaluation; Female; Gait/*physiology; Hemiplegia/*physiopathology/*rehabilitation; Humans; Linear Models; Male; Middle Aged; *Physical Fitness; Postural Balance/*physiology; Stroke/*physiopathology; *Stroke Rehabilitation&lt;/_subject_headings&gt;&lt;_tertiary_title&gt;Archives of physical medicine and rehabilitation&lt;/_tertiary_title&gt;&lt;_type_work&gt;Journal Article; Research Support, N.I.H., Extramural; Research Support, U.S. Gov&amp;apos;t, P.H.S.&lt;/_type_work&gt;&lt;_url&gt;http://www.ncbi.nlm.nih.gov/entrez/query.fcgi?cmd=Retrieve&amp;amp;db=pubmed&amp;amp;dopt=Abstract&amp;amp;list_uids=16084807&amp;amp;query_hl=1&lt;/_url&gt;&lt;_volume&gt;86&lt;/_volume&gt;&lt;/Details&gt;&lt;Extra&gt;&lt;DBUID&gt;{4639BE48-E8DA-433D-936E-D6A27A715D41}&lt;/DBUID&gt;&lt;/Extra&gt;&lt;/Item&gt;&lt;/References&gt;&lt;/Group&gt;&lt;/Citation&gt;_x000a_"/>
    <w:docVar w:name="NE.Ref{7014B1BF-3543-4154-BC99-A33189A5BE2C}" w:val=" ADDIN NE.Ref.{7014B1BF-3543-4154-BC99-A33189A5BE2C}&lt;Citation&gt;&lt;Group&gt;&lt;References&gt;&lt;Item&gt;&lt;ID&gt;678&lt;/ID&gt;&lt;UID&gt;{DEA9F70E-2FD6-42D2-B286-7D314D111671}&lt;/UID&gt;&lt;Title&gt;Kinematic gait asymmetry assessment using joint angle data in patients with chronic stroke-A normalized cross-correlation approach&lt;/Title&gt;&lt;Template&gt;Journal Article&lt;/Template&gt;&lt;Star&gt;0&lt;/Star&gt;&lt;Tag&gt;0&lt;/Tag&gt;&lt;Author&gt;Ogihara, Hirofumi; Tsushima, Eiki; Kamo, Tomohiko; Sato, Takaaki; Matsushima, Akira; Niioka, Yamato; Asahi, Ryoma; Azami, Masato&lt;/Author&gt;&lt;Year&gt;2020&lt;/Year&gt;&lt;Details&gt;&lt;_accession_num&gt;32521470&lt;/_accession_num&gt;&lt;_author_adr&gt;Department of Physical Therapy, School of Health Sciences, Japan University of  Health Sciences, 2-555, Hirasuka, Satte-city, Saitama, 340-0145 Japan; Graduate  School of Health Sciences, Hirosaki University, 66-1, Honcho, Hirosaki-city,  Aomori, 036-8564 Japan. Electronic address: h-ogihara@jhsu.ac.jp.; Graduate School of Health Sciences, Hirosaki University, 66-1, Honcho,  Hirosaki-city, Aomori, 036-8564 Japan.; Department of Physical Therapy, School of Health Sciences, Japan University of  Health Sciences, 2-555, Hirasuka, Satte-city, Saitama, 340-0145 Japan.; Graduate School of Health Sciences, Hirosaki University, 66-1, Honcho,  Hirosaki-city, Aomori, 036-8564 Japan; Department of Physical Therapy, Kakeyu  Hospital, 1308, Kakeyuonsen, Ueda-city, Nagano, 386-0396 Japan.; Department of Neurology, Kakeyu Hospital, 1308, Kakeyuonsen, Ueda-city, Nagano,  386-0396 Japan.; Department of Physical Therapy, School of Health Sciences, Aomori University of  Health and Welfare, Mase 58-1, Hamadate, Aomori-city, Aomori, 030-8505 Japan.; Department of Physical Therapy, School of Health Sciences, Japan University of  Health Sciences, 2-555, Hirasuka, Satte-city, Saitama, 340-0145 Japan.; Department of Physical Therapy, School of Health Sciences, Japan University of  Health Sciences, 2-555, Hirasuka, Satte-city, Saitama, 340-0145 Japan.&lt;/_author_adr&gt;&lt;_date_display&gt;2020 Jul&lt;/_date_display&gt;&lt;_date&gt;2020-07-01&lt;/_date&gt;&lt;_doi&gt;10.1016/j.gaitpost.2020.05.042&lt;/_doi&gt;&lt;_isbn&gt;1879-2219 (Electronic); 0966-6362 (Linking)&lt;/_isbn&gt;&lt;_journal&gt;Gait Posture&lt;/_journal&gt;&lt;_keywords&gt;Chronic stroke; Gait analysis; Gait asymmetry; Gait disorders&lt;/_keywords&gt;&lt;_language&gt;eng&lt;/_language&gt;&lt;_ori_publication&gt;Copyright (c) 2020 Elsevier B.V. All rights reserved.&lt;/_ori_publication&gt;&lt;_pages&gt;168-173&lt;/_pages&gt;&lt;_subject_headings&gt;Activities of Daily Living; Aged; Ankle Joint/physiopathology; Biomechanical Phenomena; Female; *Gait Analysis; Gait Disorders, Neurologic/*physiopathology; Hip Joint/physiopathology; Humans; Knee Joint/physiopathology; Lower Extremity/physiopathology; Male; Middle Aged; Stroke/*physiopathology; Stroke Rehabilitation&lt;/_subject_headings&gt;&lt;_tertiary_title&gt;Gait &amp;amp; posture&lt;/_tertiary_title&gt;&lt;_type_work&gt;Journal Article; Research Support, Non-U.S. Gov&amp;apos;t&lt;/_type_work&gt;&lt;_url&gt;http://www.ncbi.nlm.nih.gov/entrez/query.fcgi?cmd=Retrieve&amp;amp;db=pubmed&amp;amp;dopt=Abstract&amp;amp;list_uids=32521470&amp;amp;query_hl=1&lt;/_url&gt;&lt;_volume&gt;80&lt;/_volume&gt;&lt;_created&gt;65957592&lt;/_created&gt;&lt;_modified&gt;65957592&lt;/_modified&gt;&lt;_db_updated&gt;PubMed&lt;/_db_updated&gt;&lt;_impact_factor&gt;   2.200&lt;/_impact_factor&gt;&lt;_social_category&gt;神经科学(3) &amp;amp; 骨科(3) &amp;amp; 运动科学(3)&lt;/_social_category&gt;&lt;_collection_scope&gt;SCIE&lt;/_collection_scope&gt;&lt;/Details&gt;&lt;Extra&gt;&lt;DBUID&gt;{4639BE48-E8DA-433D-936E-D6A27A715D41}&lt;/DBUID&gt;&lt;/Extra&gt;&lt;/Item&gt;&lt;/References&gt;&lt;/Group&gt;&lt;Group&gt;&lt;References&gt;&lt;Item&gt;&lt;ID&gt;679&lt;/ID&gt;&lt;UID&gt;{DEEB54EA-E616-48FE-AA3F-22A8D3C1FE56}&lt;/UID&gt;&lt;Title&gt;Quantifying Gait Asymmetry in Stroke Patients: A Statistical Parametric Mapping (SPM) Approach&lt;/Title&gt;&lt;Template&gt;Journal Article&lt;/Template&gt;&lt;Star&gt;0&lt;/Star&gt;&lt;Tag&gt;0&lt;/Tag&gt;&lt;Author&gt;Park, Jinwoo; Han, Kihoon&lt;/Author&gt;&lt;Year&gt;2025&lt;/Year&gt;&lt;Details&gt;&lt;_accession_num&gt;39820358&lt;/_accession_num&gt;&lt;_author_adr&gt;Department of Physical Education, Pusan National University, Busan, South Korea.; Department of Physical Education, Pusan National University, Busan, South Korea.&lt;/_author_adr&gt;&lt;_date_display&gt;2025 Jan 17&lt;/_date_display&gt;&lt;_date&gt;2025-01-17&lt;/_date&gt;&lt;_doi&gt;10.12659/MSM.946754&lt;/_doi&gt;&lt;_isbn&gt;1643-3750 (Electronic); 1234-1010 (Print); 1234-1010 (Linking)&lt;/_isbn&gt;&lt;_journal&gt;Med Sci Monit&lt;/_journal&gt;&lt;_language&gt;eng&lt;/_language&gt;&lt;_pages&gt;e946754&lt;/_pages&gt;&lt;_subject_headings&gt;Humans; Male; Female; *Stroke/physiopathology; *Gait/physiology; Biomechanical Phenomena/physiology; Middle Aged; Knee Joint/physiopathology; Aged; Hip Joint/physiopathology; Stroke Rehabilitation/methods; *Gait Analysis/methods; Range of Motion, Articular/physiology; Adult; Ankle Joint/physiopathology&lt;/_subject_headings&gt;&lt;_tertiary_title&gt;Medical science monitor : international medical journal of experimental and _x000d__x000a_      clinical research&lt;/_tertiary_title&gt;&lt;_type_work&gt;Journal Article&lt;/_type_work&gt;&lt;_url&gt;http://www.ncbi.nlm.nih.gov/entrez/query.fcgi?cmd=Retrieve&amp;amp;db=pubmed&amp;amp;dopt=Abstract&amp;amp;list_uids=39820358&amp;amp;query_hl=1&lt;/_url&gt;&lt;_volume&gt;31&lt;/_volume&gt;&lt;_created&gt;65957615&lt;/_created&gt;&lt;_modified&gt;65957615&lt;/_modified&gt;&lt;_db_updated&gt;PubMed&lt;/_db_updated&gt;&lt;_impact_factor&gt;   2.200&lt;/_impact_factor&gt;&lt;_social_category&gt;医学：研究与实验(4)&lt;/_social_category&gt;&lt;_collection_scope&gt;SCIE&lt;/_collection_scope&gt;&lt;/Details&gt;&lt;Extra&gt;&lt;DBUID&gt;{4639BE48-E8DA-433D-936E-D6A27A715D41}&lt;/DBUID&gt;&lt;/Extra&gt;&lt;/Item&gt;&lt;/References&gt;&lt;/Group&gt;&lt;/Citation&gt;_x000a_"/>
    <w:docVar w:name="NE.Ref{70621823-CA10-409E-8224-EF5A31BCE521}" w:val=" ADDIN NE.Ref.{70621823-CA10-409E-8224-EF5A31BCE521}&lt;Citation&gt;&lt;Group&gt;&lt;References&gt;&lt;Item&gt;&lt;ID&gt;652&lt;/ID&gt;&lt;UID&gt;{5ADD0935-077B-4CB3-8823-E645B856EF0F}&lt;/UID&gt;&lt;Title&gt;Deficits in intersegmental trunk coordination during walking are related to clinical balance and gait function in chronic stroke&lt;/Title&gt;&lt;Template&gt;Journal Article&lt;/Template&gt;&lt;Star&gt;0&lt;/Star&gt;&lt;Tag&gt;0&lt;/Tag&gt;&lt;Author&gt;Hacmon, Revital R; Krasovsky, Tal; Lamontagne, Anouk; Levin, Mindy F&lt;/Author&gt;&lt;Year&gt;2012&lt;/Year&gt;&lt;Details&gt;&lt;_accession_num&gt;23095903&lt;/_accession_num&gt;&lt;_author_adr&gt;School of Physical and Occupational Therapy, McGill University, Montreal, and  Center for Interdisciplinary Research in Rehabilitation, Feil and Oberfeld  Research Center, Jewish Rehabilitation Hospital, Laval, Quebec, Canada.&lt;/_author_adr&gt;&lt;_collection_scope&gt;SCIE&lt;/_collection_scope&gt;&lt;_created&gt;65949029&lt;/_created&gt;&lt;_date&gt;2012-12-01&lt;/_date&gt;&lt;_date_display&gt;2012 Dec&lt;/_date_display&gt;&lt;_db_updated&gt;PubMed&lt;/_db_updated&gt;&lt;_doi&gt;10.1097/NPT.0b013e31827374c1&lt;/_doi&gt;&lt;_impact_factor&gt;   2.600&lt;/_impact_factor&gt;&lt;_isbn&gt;1557-0584 (Electronic); 1557-0576 (Linking)&lt;/_isbn&gt;&lt;_issue&gt;4&lt;/_issue&gt;&lt;_journal&gt;J Neurol Phys Ther&lt;/_journal&gt;&lt;_language&gt;eng&lt;/_language&gt;&lt;_modified&gt;65949029&lt;/_modified&gt;&lt;_pages&gt;173-81&lt;/_pages&gt;&lt;_social_category&gt;临床神经病学(4) &amp;amp; 康复医学(4)&lt;/_social_category&gt;&lt;_subject_headings&gt;Aged; Biomechanical Phenomena/physiology; Exercise Test; Female; Gait/*physiology; Humans; Male; Middle Aged; Postural Balance/*physiology; Range of Motion, Articular/physiology; Stroke/*physiopathology; Walking/*physiology&lt;/_subject_headings&gt;&lt;_tertiary_title&gt;Journal of neurologic physical therapy : JNPT&lt;/_tertiary_title&gt;&lt;_type_work&gt;Journal Article; Research Support, Non-U.S. Gov&amp;apos;t&lt;/_type_work&gt;&lt;_url&gt;http://www.ncbi.nlm.nih.gov/entrez/query.fcgi?cmd=Retrieve&amp;amp;db=pubmed&amp;amp;dopt=Abstract&amp;amp;list_uids=23095903&amp;amp;query_hl=1&lt;/_url&gt;&lt;_volume&gt;36&lt;/_volume&gt;&lt;/Details&gt;&lt;Extra&gt;&lt;DBUID&gt;{4639BE48-E8DA-433D-936E-D6A27A715D41}&lt;/DBUID&gt;&lt;/Extra&gt;&lt;/Item&gt;&lt;/References&gt;&lt;/Group&gt;&lt;Group&gt;&lt;References&gt;&lt;Item&gt;&lt;ID&gt;647&lt;/ID&gt;&lt;UID&gt;{D6F63881-4E44-419C-BEA2-57F1AB44D512}&lt;/UID&gt;&lt;Title&gt;Relationship between Pelvic Alignment and Weight-bearing Asymmetry in Community-dwelling Chronic Stroke Survivors&lt;/Title&gt;&lt;Template&gt;Journal Article&lt;/Template&gt;&lt;Star&gt;0&lt;/Star&gt;&lt;Tag&gt;0&lt;/Tag&gt;&lt;Author&gt;Karthikbabu, Suruliraj; Chakrapani, Mahabala; Ganesan, Sailakshmi; Ellajosyula, Ratnavalli&lt;/Author&gt;&lt;Year&gt;2016&lt;/Year&gt;&lt;Details&gt;&lt;_accession_num&gt;28163501&lt;/_accession_num&gt;&lt;_author_adr&gt;Department of Physiotherapy, School of Allied Health Sciences, Manipal  University, Manipal Hospital, Bengaluru, Karnataka, India.; Department of Medicine, Kasturba Medical College, Manipal University, Mangalore,  Karnataka, India.; Department of Physiotherapy, Spastics Society of Tamilnadu, Chennai, Tamil Nadu,  India.; Department of Neurology, Manipal Hospital, Bengaluru, Karnataka, India.&lt;/_author_adr&gt;&lt;_collection_scope&gt;ESCI&lt;/_collection_scope&gt;&lt;_created&gt;65949018&lt;/_created&gt;&lt;_date&gt;2016-12-01&lt;/_date&gt;&lt;_date_display&gt;2016 Dec&lt;/_date_display&gt;&lt;_db_updated&gt;PubMed&lt;/_db_updated&gt;&lt;_doi&gt;10.4103/0976-3147.196460&lt;/_doi&gt;&lt;_impact_factor&gt;   0.800&lt;/_impact_factor&gt;&lt;_isbn&gt;0976-3147 (Print); 0976-3155 (Electronic); 0976-3155 (Linking)&lt;/_isbn&gt;&lt;_issue&gt;Suppl 1&lt;/_issue&gt;&lt;_journal&gt;J Neurosci Rural Pract&lt;/_journal&gt;&lt;_keywords&gt;Motor recovery; pelvic alignment; stroke; weight-bearing asymmetry&lt;/_keywords&gt;&lt;_language&gt;eng&lt;/_language&gt;&lt;_modified&gt;65949018&lt;/_modified&gt;&lt;_pages&gt;S37-S40&lt;/_pages&gt;&lt;_social_category&gt;临床神经病学(4)&lt;/_social_category&gt;&lt;_tertiary_title&gt;Journal of neurosciences in rural practice&lt;/_tertiary_title&gt;&lt;_type_work&gt;Journal Article&lt;/_type_work&gt;&lt;_url&gt;http://www.ncbi.nlm.nih.gov/entrez/query.fcgi?cmd=Retrieve&amp;amp;db=pubmed&amp;amp;dopt=Abstract&amp;amp;list_uids=28163501&amp;amp;query_hl=1&lt;/_url&gt;&lt;_volume&gt;7&lt;/_volume&gt;&lt;/Details&gt;&lt;Extra&gt;&lt;DBUID&gt;{4639BE48-E8DA-433D-936E-D6A27A715D41}&lt;/DBUID&gt;&lt;/Extra&gt;&lt;/Item&gt;&lt;/References&gt;&lt;/Group&gt;&lt;/Citation&gt;_x000a_"/>
    <w:docVar w:name="NE.Ref{73DA7DF5-B92E-4773-B33D-1A24F04818FF}" w:val=" ADDIN NE.Ref.{73DA7DF5-B92E-4773-B33D-1A24F04818FF}&lt;Citation&gt;&lt;Group&gt;&lt;References&gt;&lt;Item&gt;&lt;ID&gt;642&lt;/ID&gt;&lt;UID&gt;{F7821F2D-D5F1-417E-B2E6-495EE2751FA8}&lt;/UID&gt;&lt;Title&gt;Patterns of asymmetry and energy cost generated from predictive simulations of hemiparetic gait&lt;/Title&gt;&lt;Template&gt;Journal Article&lt;/Template&gt;&lt;Star&gt;0&lt;/Star&gt;&lt;Tag&gt;0&lt;/Tag&gt;&lt;Author&gt;Johnson, Russell T; Bianco, Nicholas A; Finley, James M&lt;/Author&gt;&lt;Year&gt;2022&lt;/Year&gt;&lt;Details&gt;&lt;_accessed&gt;65949050&lt;/_accessed&gt;&lt;_accession_num&gt;36084139&lt;/_accession_num&gt;&lt;_author_adr&gt;Division of Biokinesiology and Physical Therapy, University of Southern  California, Los Angeles, California, United States of America.; Department of Mechanical Engineering, Stanford University, Palo Alto, California,  United States of America.; Division of Biokinesiology and Physical Therapy, University of Southern  California, Los Angeles, California, United States of America.; Department of Biomedical Engineering, University of Southern California, Los  Angeles, California, United States of America.; Neuroscience Graduate Program, University of Southern California, Los Angeles,  California, United States of America.&lt;/_author_adr&gt;&lt;_collection_scope&gt;SCIE;EI&lt;/_collection_scope&gt;&lt;_created&gt;65949013&lt;/_created&gt;&lt;_date&gt;2022-09-01&lt;/_date&gt;&lt;_date_display&gt;2022 Sep&lt;/_date_display&gt;&lt;_db_updated&gt;PubMed&lt;/_db_updated&gt;&lt;_doi&gt;10.1371/journal.pcbi.1010466&lt;/_doi&gt;&lt;_impact_factor&gt;   3.800&lt;/_impact_factor&gt;&lt;_isbn&gt;1553-7358 (Electronic); 1553-734X (Print); 1553-734X (Linking)&lt;/_isbn&gt;&lt;_issue&gt;9&lt;/_issue&gt;&lt;_journal&gt;PLoS Comput Biol&lt;/_journal&gt;&lt;_language&gt;eng&lt;/_language&gt;&lt;_modified&gt;65949050&lt;/_modified&gt;&lt;_pages&gt;e1010466&lt;/_pages&gt;&lt;_social_category&gt;生化研究方法(2) &amp;amp; 数学与计算生物学(2)&lt;/_social_category&gt;&lt;_subject_headings&gt;Computer Simulation; *Gait/physiology; Humans; Paresis; *Stroke; Walking/physiology&lt;/_subject_headings&gt;&lt;_tertiary_title&gt;PLoS computational biology&lt;/_tertiary_title&gt;&lt;_type_work&gt;Journal Article; Research Support, N.I.H., Extramural&lt;/_type_work&gt;&lt;_url&gt;http://www.ncbi.nlm.nih.gov/entrez/query.fcgi?cmd=Retrieve&amp;amp;db=pubmed&amp;amp;dopt=Abstract&amp;amp;list_uids=36084139&amp;amp;query_hl=1&lt;/_url&gt;&lt;_volume&gt;18&lt;/_volume&gt;&lt;/Details&gt;&lt;Extra&gt;&lt;DBUID&gt;{4639BE48-E8DA-433D-936E-D6A27A715D41}&lt;/DBUID&gt;&lt;/Extra&gt;&lt;/Item&gt;&lt;/References&gt;&lt;/Group&gt;&lt;/Citation&gt;_x000a_"/>
    <w:docVar w:name="NE.Ref{77D8C286-3902-4777-B93E-6832E49FFB04}" w:val=" ADDIN NE.Ref.{77D8C286-3902-4777-B93E-6832E49FFB04}&lt;Citation&gt;&lt;Group&gt;&lt;References&gt;&lt;Item&gt;&lt;ID&gt;638&lt;/ID&gt;&lt;UID&gt;{EE5E6683-F063-4DEA-AC30-D07D95A5029A}&lt;/UID&gt;&lt;Title&gt;Lower limb muscle activity underlying temporal gait asymmetry post-stroke&lt;/Title&gt;&lt;Template&gt;Journal Article&lt;/Template&gt;&lt;Star&gt;0&lt;/Star&gt;&lt;Tag&gt;0&lt;/Tag&gt;&lt;Author&gt;Rozanski, Gabriela M; Huntley, Andrew H; Crosby, Lucas D; Schinkel-Ivy, Alison; Mansfield, Avril; Patterson, Kara K&lt;/Author&gt;&lt;Year&gt;2020&lt;/Year&gt;&lt;Details&gt;&lt;_accession_num&gt;32570199&lt;/_accession_num&gt;&lt;_author_adr&gt;Toronto Rehabilitation Institute, University Health Network, Toronto, Canada.  Electronic address: gabriela.rozanski@uhn.ca.; Toronto Rehabilitation Institute, University Health Network, Toronto, Canada.; Toronto Rehabilitation Institute, University Health Network, Toronto, Canada;  Rehabilitation Sciences Institute, University of Toronto, Toronto, Canada.; School of Physical and Health Education, Nipissing University, North Bay, Canada.; Toronto Rehabilitation Institute, University Health Network, Toronto, Canada;  Hurvitz Brain Sciences Research Program, Sunnybrook Research Institute, Toronto,  Canada.; Toronto Rehabilitation Institute, University Health Network, Toronto, Canada;  Rehabilitation Sciences Institute, University of Toronto, Toronto, Canada;  Department of Physical Therapy, University of Toronto, Toronto, Canada.&lt;/_author_adr&gt;&lt;_collection_scope&gt;SCIE&lt;/_collection_scope&gt;&lt;_created&gt;65948994&lt;/_created&gt;&lt;_date&gt;2020-08-01&lt;/_date&gt;&lt;_date_display&gt;2020 Aug&lt;/_date_display&gt;&lt;_db_updated&gt;PubMed&lt;/_db_updated&gt;&lt;_doi&gt;10.1016/j.clinph.2020.04.171&lt;/_doi&gt;&lt;_impact_factor&gt;   3.700&lt;/_impact_factor&gt;&lt;_isbn&gt;1872-8952 (Electronic); 1388-2457 (Linking)&lt;/_isbn&gt;&lt;_issue&gt;8&lt;/_issue&gt;&lt;_journal&gt;Clin Neurophysiol&lt;/_journal&gt;&lt;_keywords&gt;Electromyography; Gait asymmetry; Stroke; Swing time&lt;/_keywords&gt;&lt;_language&gt;eng&lt;/_language&gt;&lt;_modified&gt;65948994&lt;/_modified&gt;&lt;_ori_publication&gt;Copyright (c) 2020 International Federation of Clinical Neurophysiology. Published _x000d__x000a_      by Elsevier B.V. All rights reserved.&lt;/_ori_publication&gt;&lt;_pages&gt;1848-1858&lt;/_pages&gt;&lt;_social_category&gt;临床神经病学(3) &amp;amp; 神经科学(3)&lt;/_social_category&gt;&lt;_subject_headings&gt;Aged; Electromyography/*methods; Female; *Gait; Humans; Lower Extremity/*physiopathology; Male; Middle Aged; Muscle Contraction; Muscle, Skeletal/*physiopathology; Stroke/diagnosis/*physiopathology&lt;/_subject_headings&gt;&lt;_tertiary_title&gt;Clinical neurophysiology : official journal of the International Federation of _x000d__x000a_      Clinical Neurophysiology&lt;/_tertiary_title&gt;&lt;_type_work&gt;Journal Article; Randomized Controlled Trial; Research Support, Non-U.S. Gov&amp;apos;t&lt;/_type_work&gt;&lt;_url&gt;http://www.ncbi.nlm.nih.gov/entrez/query.fcgi?cmd=Retrieve&amp;amp;db=pubmed&amp;amp;dopt=Abstract&amp;amp;list_uids=32570199&amp;amp;query_hl=1&lt;/_url&gt;&lt;_volume&gt;131&lt;/_volume&gt;&lt;/Details&gt;&lt;Extra&gt;&lt;DBUID&gt;{4639BE48-E8DA-433D-936E-D6A27A715D41}&lt;/DBUID&gt;&lt;/Extra&gt;&lt;/Item&gt;&lt;/References&gt;&lt;/Group&gt;&lt;Group&gt;&lt;References&gt;&lt;Item&gt;&lt;ID&gt;642&lt;/ID&gt;&lt;UID&gt;{F7821F2D-D5F1-417E-B2E6-495EE2751FA8}&lt;/UID&gt;&lt;Title&gt;Patterns of asymmetry and energy cost generated from predictive simulations of hemiparetic gait&lt;/Title&gt;&lt;Template&gt;Journal Article&lt;/Template&gt;&lt;Star&gt;0&lt;/Star&gt;&lt;Tag&gt;0&lt;/Tag&gt;&lt;Author&gt;Johnson, Russell T; Bianco, Nicholas A; Finley, James M&lt;/Author&gt;&lt;Year&gt;2022&lt;/Year&gt;&lt;Details&gt;&lt;_accessed&gt;65949050&lt;/_accessed&gt;&lt;_accession_num&gt;36084139&lt;/_accession_num&gt;&lt;_author_adr&gt;Division of Biokinesiology and Physical Therapy, University of Southern  California, Los Angeles, California, United States of America.; Department of Mechanical Engineering, Stanford University, Palo Alto, California,  United States of America.; Division of Biokinesiology and Physical Therapy, University of Southern  California, Los Angeles, California, United States of America.; Department of Biomedical Engineering, University of Southern California, Los  Angeles, California, United States of America.; Neuroscience Graduate Program, University of Southern California, Los Angeles,  California, United States of America.&lt;/_author_adr&gt;&lt;_collection_scope&gt;SCIE;EI&lt;/_collection_scope&gt;&lt;_created&gt;65949013&lt;/_created&gt;&lt;_date&gt;2022-09-01&lt;/_date&gt;&lt;_date_display&gt;2022 Sep&lt;/_date_display&gt;&lt;_db_updated&gt;PubMed&lt;/_db_updated&gt;&lt;_doi&gt;10.1371/journal.pcbi.1010466&lt;/_doi&gt;&lt;_impact_factor&gt;   3.800&lt;/_impact_factor&gt;&lt;_isbn&gt;1553-7358 (Electronic); 1553-734X (Print); 1553-734X (Linking)&lt;/_isbn&gt;&lt;_issue&gt;9&lt;/_issue&gt;&lt;_journal&gt;PLoS Comput Biol&lt;/_journal&gt;&lt;_language&gt;eng&lt;/_language&gt;&lt;_modified&gt;65949050&lt;/_modified&gt;&lt;_pages&gt;e1010466&lt;/_pages&gt;&lt;_social_category&gt;生化研究方法(2) &amp;amp; 数学与计算生物学(2)&lt;/_social_category&gt;&lt;_subject_headings&gt;Computer Simulation; *Gait/physiology; Humans; Paresis; *Stroke; Walking/physiology&lt;/_subject_headings&gt;&lt;_tertiary_title&gt;PLoS computational biology&lt;/_tertiary_title&gt;&lt;_type_work&gt;Journal Article; Research Support, N.I.H., Extramural&lt;/_type_work&gt;&lt;_url&gt;http://www.ncbi.nlm.nih.gov/entrez/query.fcgi?cmd=Retrieve&amp;amp;db=pubmed&amp;amp;dopt=Abstract&amp;amp;list_uids=36084139&amp;amp;query_hl=1&lt;/_url&gt;&lt;_volume&gt;18&lt;/_volume&gt;&lt;/Details&gt;&lt;Extra&gt;&lt;DBUID&gt;{4639BE48-E8DA-433D-936E-D6A27A715D41}&lt;/DBUID&gt;&lt;/Extra&gt;&lt;/Item&gt;&lt;/References&gt;&lt;/Group&gt;&lt;Group&gt;&lt;References&gt;&lt;Item&gt;&lt;ID&gt;639&lt;/ID&gt;&lt;UID&gt;{21261DAD-16E3-4E49-9DBF-EBA3B36970BA}&lt;/UID&gt;&lt;Title&gt;Association Between Lower Limb Strength Asymmetry and Gait Asymmetry: Implications for Gait Variability in Stroke Survivors&lt;/Title&gt;&lt;Template&gt;Journal Article&lt;/Template&gt;&lt;Star&gt;0&lt;/Star&gt;&lt;Tag&gt;0&lt;/Tag&gt;&lt;Author&gt;Lee, Yungon; Kim, Gi Beom; Shin, Sunghoon&lt;/Author&gt;&lt;Year&gt;2025&lt;/Year&gt;&lt;Details&gt;&lt;_accession_num&gt;39860387&lt;/_accession_num&gt;&lt;_author_adr&gt;Department of Military Kinesiology, Korea Military Academy, Seoul 01805, Republic  of Korea.; Neuromuscular Control Laboratory, Yeungnam University, Gyeongsan-si 38541,  Republic of Korea.; Department of Orthopedic Surgery, College of Medicine, Yeungnam University, 170  Hyonchung-ro, Daegu 42415, Republic of Korea.; Department of Orthopedic Surgery, Yeungnam University Medical Center, 170  Hyonchung-ro, Daegu 42415, Republic of Korea.; Research Institute of Human Ecology, Yeungnam University, Gyeongsan-si 38541,  Republic of Korea.; Neuromuscular Control Laboratory, Yeungnam University, Gyeongsan-si 38541,  Republic of Korea.; Research Institute of Human Ecology, Yeungnam University, Gyeongsan-si 38541,  Republic of Korea.; School of Kinesiology, College of Human Ecology &amp;amp; Kinesiology, Yeungnam  University, 280 Daehak-ro, 221ho, Gyeongsan-si 38541, Republic of Korea.&lt;/_author_adr&gt;&lt;_collection_scope&gt;SCIE&lt;/_collection_scope&gt;&lt;_created&gt;65948995&lt;/_created&gt;&lt;_date&gt;2025-01-09&lt;/_date&gt;&lt;_date_display&gt;2025 Jan 9&lt;/_date_display&gt;&lt;_db_updated&gt;PubMed&lt;/_db_updated&gt;&lt;_doi&gt;10.3390/jcm14020380&lt;/_doi&gt;&lt;_impact_factor&gt;   3.000&lt;/_impact_factor&gt;&lt;_isbn&gt;2077-0383 (Print); 2077-0383 (Electronic); 2077-0383 (Linking)&lt;/_isbn&gt;&lt;_issue&gt;2&lt;/_issue&gt;&lt;_journal&gt;J Clin Med&lt;/_journal&gt;&lt;_keywords&gt;gait; gait asymmetry; gait variability; lower limb strength asymmetry; stroke&lt;/_keywords&gt;&lt;_language&gt;eng&lt;/_language&gt;&lt;_modified&gt;65948995&lt;/_modified&gt;&lt;_social_category&gt;医学：内科(3)&lt;/_social_category&gt;&lt;_tertiary_title&gt;Journal of clinical medicine&lt;/_tertiary_title&gt;&lt;_type_work&gt;Journal Article&lt;/_type_work&gt;&lt;_url&gt;http://www.ncbi.nlm.nih.gov/entrez/query.fcgi?cmd=Retrieve&amp;amp;db=pubmed&amp;amp;dopt=Abstract&amp;amp;list_uids=39860387&amp;amp;query_hl=1&lt;/_url&gt;&lt;_volume&gt;14&lt;/_volume&gt;&lt;/Details&gt;&lt;Extra&gt;&lt;DBUID&gt;{4639BE48-E8DA-433D-936E-D6A27A715D41}&lt;/DBUID&gt;&lt;/Extra&gt;&lt;/Item&gt;&lt;/References&gt;&lt;/Group&gt;&lt;Group&gt;&lt;References&gt;&lt;Item&gt;&lt;ID&gt;640&lt;/ID&gt;&lt;UID&gt;{E33992FA-C01B-4083-BC32-E533CEA0B42E}&lt;/UID&gt;&lt;Title&gt;Quantifying Gait Asymmetry in Stroke Patients: A Statistical Parametric Mapping (SPM) Approach&lt;/Title&gt;&lt;Template&gt;Journal Article&lt;/Template&gt;&lt;Star&gt;0&lt;/Star&gt;&lt;Tag&gt;0&lt;/Tag&gt;&lt;Author&gt;Park, Jinwoo; Han, Kihoon&lt;/Author&gt;&lt;Year&gt;2025&lt;/Year&gt;&lt;Details&gt;&lt;_accession_num&gt;39820358&lt;/_accession_num&gt;&lt;_author_adr&gt;Department of Physical Education, Pusan National University, Busan, South Korea.; Department of Physical Education, Pusan National University, Busan, South Korea.&lt;/_author_adr&gt;&lt;_collection_scope&gt;SCIE&lt;/_collection_scope&gt;&lt;_created&gt;65948996&lt;/_created&gt;&lt;_date&gt;2025-01-17&lt;/_date&gt;&lt;_date_display&gt;2025 Jan 17&lt;/_date_display&gt;&lt;_db_updated&gt;PubMed&lt;/_db_updated&gt;&lt;_doi&gt;10.12659/MSM.946754&lt;/_doi&gt;&lt;_impact_factor&gt;   2.200&lt;/_impact_factor&gt;&lt;_isbn&gt;1643-3750 (Electronic); 1234-1010 (Print); 1234-1010 (Linking)&lt;/_isbn&gt;&lt;_journal&gt;Med Sci Monit&lt;/_journal&gt;&lt;_language&gt;eng&lt;/_language&gt;&lt;_modified&gt;65948996&lt;/_modified&gt;&lt;_pages&gt;e946754&lt;/_pages&gt;&lt;_social_category&gt;医学：研究与实验(4)&lt;/_social_category&gt;&lt;_subject_headings&gt;Humans; Male; Female; *Stroke/physiopathology; *Gait/physiology; Biomechanical Phenomena/physiology; Middle Aged; Knee Joint/physiopathology; Aged; Hip Joint/physiopathology; Stroke Rehabilitation/methods; *Gait Analysis/methods; Range of Motion, Articular/physiology; Adult; Ankle Joint/physiopathology&lt;/_subject_headings&gt;&lt;_tertiary_title&gt;Medical science monitor : international medical journal of experimental and _x000d__x000a_      clinical research&lt;/_tertiary_title&gt;&lt;_type_work&gt;Journal Article&lt;/_type_work&gt;&lt;_url&gt;http://www.ncbi.nlm.nih.gov/entrez/query.fcgi?cmd=Retrieve&amp;amp;db=pubmed&amp;amp;dopt=Abstract&amp;amp;list_uids=39820358&amp;amp;query_hl=1&lt;/_url&gt;&lt;_volume&gt;31&lt;/_volume&gt;&lt;/Details&gt;&lt;Extra&gt;&lt;DBUID&gt;{4639BE48-E8DA-433D-936E-D6A27A715D41}&lt;/DBUID&gt;&lt;/Extra&gt;&lt;/Item&gt;&lt;/References&gt;&lt;/Group&gt;&lt;/Citation&gt;_x000a_"/>
    <w:docVar w:name="NE.Ref{7E6B0A50-A55E-4341-9612-B5A0059547C8}" w:val=" ADDIN NE.Ref.{7E6B0A50-A55E-4341-9612-B5A0059547C8}&lt;Citation&gt;&lt;Group&gt;&lt;References&gt;&lt;Item&gt;&lt;ID&gt;667&lt;/ID&gt;&lt;UID&gt;{8CAB89A2-F70D-414D-96BD-71ABBB5F4E92}&lt;/UID&gt;&lt;Title&gt;The major determinants in normal and pathological gait&lt;/Title&gt;&lt;Template&gt;Journal Article&lt;/Template&gt;&lt;Star&gt;0&lt;/Star&gt;&lt;Tag&gt;0&lt;/Tag&gt;&lt;Author&gt;SAUNDERS, J B; INMAN, V T; EBERHART, H D&lt;/Author&gt;&lt;Year&gt;1953&lt;/Year&gt;&lt;Details&gt;&lt;_accession_num&gt;13069544&lt;/_accession_num&gt;&lt;_date_display&gt;1953 Jul&lt;/_date_display&gt;&lt;_date&gt;1953-07-01&lt;/_date&gt;&lt;_isbn&gt;0021-9355 (Print); 0021-9355 (Linking)&lt;/_isbn&gt;&lt;_issue&gt;3&lt;/_issue&gt;&lt;_journal&gt;J Bone Joint Surg Am&lt;/_journal&gt;&lt;_keywords&gt;*GAIT&lt;/_keywords&gt;&lt;_language&gt;eng&lt;/_language&gt;&lt;_pages&gt;543-58&lt;/_pages&gt;&lt;_subject_headings&gt;*Gait; Humans&lt;/_subject_headings&gt;&lt;_tertiary_title&gt;The Journal of bone and joint surgery. American volume&lt;/_tertiary_title&gt;&lt;_type_work&gt;Journal Article&lt;/_type_work&gt;&lt;_url&gt;http://www.ncbi.nlm.nih.gov/entrez/query.fcgi?cmd=Retrieve&amp;amp;db=pubmed&amp;amp;dopt=Abstract&amp;amp;list_uids=13069544&amp;amp;query_hl=1&lt;/_url&gt;&lt;_volume&gt;35-A&lt;/_volume&gt;&lt;_created&gt;65949051&lt;/_created&gt;&lt;_modified&gt;65949052&lt;/_modified&gt;&lt;_db_updated&gt;PubMed&lt;/_db_updated&gt;&lt;_impact_factor&gt;   4.400&lt;/_impact_factor&gt;&lt;_social_category&gt;骨科(1) &amp;amp; 外科(1)&lt;/_social_category&gt;&lt;_collection_scope&gt;SCIE&lt;/_collection_scope&gt;&lt;/Details&gt;&lt;Extra&gt;&lt;DBUID&gt;{4639BE48-E8DA-433D-936E-D6A27A715D41}&lt;/DBUID&gt;&lt;/Extra&gt;&lt;/Item&gt;&lt;/References&gt;&lt;/Group&gt;&lt;/Citation&gt;_x000a_"/>
    <w:docVar w:name="NE.Ref{7EF66B43-B6E3-4C99-BB2E-C3E1CC8CC330}" w:val=" ADDIN NE.Ref.{7EF66B43-B6E3-4C99-BB2E-C3E1CC8CC330}&lt;Citation&gt;&lt;Group&gt;&lt;References&gt;&lt;Item&gt;&lt;ID&gt;646&lt;/ID&gt;&lt;UID&gt;{D0A9F4D9-AF52-4B31-99DE-497122187D14}&lt;/UID&gt;&lt;Title&gt;Gait Kinematics and Asymmetries Affecting Fall Risk in People with Chronic Stroke: A Retrospective Study&lt;/Title&gt;&lt;Template&gt;Journal Article&lt;/Template&gt;&lt;Star&gt;0&lt;/Star&gt;&lt;Tag&gt;0&lt;/Tag&gt;&lt;Author&gt;Wang, Shuaijie; Bhatt, Tanvi&lt;/Author&gt;&lt;Year&gt;2022&lt;/Year&gt;&lt;Details&gt;&lt;_accession_num&gt;39801898&lt;/_accession_num&gt;&lt;_author_adr&gt;Department of Physical Therapy, University of Illinois at Chicago, Chicago, IL  60612, USA.; Department of Physical Therapy, University of Illinois at Chicago, Chicago, IL  60612, USA.&lt;/_author_adr&gt;&lt;_created&gt;65949017&lt;/_created&gt;&lt;_date&gt;2022-09-01&lt;/_date&gt;&lt;_date_display&gt;2022 Sep&lt;/_date_display&gt;&lt;_db_updated&gt;PubMed&lt;/_db_updated&gt;&lt;_doi&gt;10.3390/biomechanics2030035&lt;/_doi&gt;&lt;_isbn&gt;2673-7078 (Electronic); 2673-7078 (Linking)&lt;/_isbn&gt;&lt;_issue&gt;3&lt;/_issue&gt;&lt;_journal&gt;Biomechanics (Basel)&lt;/_journal&gt;&lt;_keywords&gt;environmental falls; fall prevention; gait pattern; hemiparesis; slip; trip&lt;/_keywords&gt;&lt;_language&gt;eng&lt;/_language&gt;&lt;_modified&gt;65949017&lt;/_modified&gt;&lt;_pages&gt;453-465&lt;/_pages&gt;&lt;_tertiary_title&gt;Biomechanics (Basel, Switzerland)&lt;/_tertiary_title&gt;&lt;_type_work&gt;Journal Article&lt;/_type_work&gt;&lt;_url&gt;http://www.ncbi.nlm.nih.gov/entrez/query.fcgi?cmd=Retrieve&amp;amp;db=pubmed&amp;amp;dopt=Abstract&amp;amp;list_uids=39801898&amp;amp;query_hl=1&lt;/_url&gt;&lt;_volume&gt;2&lt;/_volume&gt;&lt;/Details&gt;&lt;Extra&gt;&lt;DBUID&gt;{4639BE48-E8DA-433D-936E-D6A27A715D41}&lt;/DBUID&gt;&lt;/Extra&gt;&lt;/Item&gt;&lt;/References&gt;&lt;/Group&gt;&lt;/Citation&gt;_x000a_"/>
    <w:docVar w:name="NE.Ref{7F03C99D-7DE1-4876-9EE0-D3E7CC7D5551}" w:val=" ADDIN NE.Ref.{7F03C99D-7DE1-4876-9EE0-D3E7CC7D5551}&lt;Citation&gt;&lt;Group&gt;&lt;References&gt;&lt;Item&gt;&lt;ID&gt;644&lt;/ID&gt;&lt;UID&gt;{3379C46E-BADF-4704-8F0A-187D411C7774}&lt;/UID&gt;&lt;Title&gt;The prevalence of knee pain and symptomatic knee osteoarthritis among veteran traumatic amputees and nonamputees&lt;/Title&gt;&lt;Template&gt;Journal Article&lt;/Template&gt;&lt;Star&gt;0&lt;/Star&gt;&lt;Tag&gt;0&lt;/Tag&gt;&lt;Author&gt;Norvell, Daniel C; Czerniecki, Joseph M; Reiber, Gayle E; Maynard, Charles; Pecoraro, Janice A; Weiss, Noel S&lt;/Author&gt;&lt;Year&gt;2005&lt;/Year&gt;&lt;Details&gt;&lt;_accession_num&gt;15759233&lt;/_accession_num&gt;&lt;_author_adr&gt;Health Services Research and Development, Seattle, WA, USA.  dan@olympicresearch.com&lt;/_author_adr&gt;&lt;_collection_scope&gt;SCIE&lt;/_collection_scope&gt;&lt;_created&gt;65949014&lt;/_created&gt;&lt;_date&gt;2005-03-01&lt;/_date&gt;&lt;_date_display&gt;2005 Mar&lt;/_date_display&gt;&lt;_db_updated&gt;PubMed&lt;/_db_updated&gt;&lt;_doi&gt;10.1016/j.apmr.2004.04.034&lt;/_doi&gt;&lt;_impact_factor&gt;   3.600&lt;/_impact_factor&gt;&lt;_isbn&gt;0003-9993 (Print); 1532-821X (Electronic); 0003-9993 (Linking)&lt;/_isbn&gt;&lt;_issue&gt;3&lt;/_issue&gt;&lt;_journal&gt;Arch Phys Med Rehabil&lt;/_journal&gt;&lt;_language&gt;eng&lt;/_language&gt;&lt;_modified&gt;65949014&lt;/_modified&gt;&lt;_pages&gt;487-93&lt;/_pages&gt;&lt;_social_category&gt;康复医学(2) &amp;amp; 运动科学(3)&lt;/_social_category&gt;&lt;_subject_headings&gt;Adult; Aged; Algorithms; Amputation, Traumatic/*complications; Amputees/*rehabilitation; Confidence Intervals; Hospitals, Veterans; Humans; Male; Middle Aged; Osteoarthritis, Knee/*epidemiology; Pain/classification/*etiology; Prevalence; Retrospective Studies; United States/epidemiology; *Veterans&lt;/_subject_headings&gt;&lt;_tertiary_title&gt;Archives of physical medicine and rehabilitation&lt;/_tertiary_title&gt;&lt;_type_work&gt;Journal Article; Research Support, U.S. Gov&amp;apos;t, Non-P.H.S.&lt;/_type_work&gt;&lt;_url&gt;http://www.ncbi.nlm.nih.gov/entrez/query.fcgi?cmd=Retrieve&amp;amp;db=pubmed&amp;amp;dopt=Abstract&amp;amp;list_uids=15759233&amp;amp;query_hl=1&lt;/_url&gt;&lt;_volume&gt;86&lt;/_volume&gt;&lt;/Details&gt;&lt;Extra&gt;&lt;DBUID&gt;{4639BE48-E8DA-433D-936E-D6A27A715D41}&lt;/DBUID&gt;&lt;/Extra&gt;&lt;/Item&gt;&lt;/References&gt;&lt;/Group&gt;&lt;/Citation&gt;_x000a_"/>
    <w:docVar w:name="NE.Ref{7FAE2B36-CEEB-4B89-BCBA-B08B0CC819E2}" w:val=" ADDIN NE.Ref.{7FAE2B36-CEEB-4B89-BCBA-B08B0CC819E2}&lt;Citation&gt;&lt;Group&gt;&lt;References&gt;&lt;Item&gt;&lt;ID&gt;649&lt;/ID&gt;&lt;UID&gt;{12E727D2-A941-45BA-A0E3-2E8EDB33A4CA}&lt;/UID&gt;&lt;Title&gt;Gait performance with compensatory adaptations in stroke patients with different degrees of motor recovery&lt;/Title&gt;&lt;Template&gt;Journal Article&lt;/Template&gt;&lt;Star&gt;0&lt;/Star&gt;&lt;Tag&gt;0&lt;/Tag&gt;&lt;Author&gt;Chen, Chia-Ling; Chen, Hsieh-Ching; Tang, Simon Fu-Tan; Wu, Ching-Yi; Cheng, Pao-Tsai; Hong, Wei-Hsien&lt;/Author&gt;&lt;Year&gt;2003&lt;/Year&gt;&lt;Details&gt;&lt;_accession_num&gt;14627929&lt;/_accession_num&gt;&lt;_author_adr&gt;Department of Physical Medicine and Rehabilitation, Chang Gung Memorial and  Children&amp;apos;s Hospital, Taipei, Taiwan.&lt;/_author_adr&gt;&lt;_collection_scope&gt;SCIE&lt;/_collection_scope&gt;&lt;_created&gt;65949022&lt;/_created&gt;&lt;_date&gt;2003-12-01&lt;/_date&gt;&lt;_date_display&gt;2003 Dec&lt;/_date_display&gt;&lt;_db_updated&gt;PubMed&lt;/_db_updated&gt;&lt;_doi&gt;10.1097/01.PHM.0000098040.13355.B5&lt;/_doi&gt;&lt;_impact_factor&gt;   2.200&lt;/_impact_factor&gt;&lt;_isbn&gt;0894-9115 (Print); 0894-9115 (Linking)&lt;/_isbn&gt;&lt;_issue&gt;12&lt;/_issue&gt;&lt;_journal&gt;Am J Phys Med Rehabil&lt;/_journal&gt;&lt;_language&gt;eng&lt;/_language&gt;&lt;_modified&gt;65949022&lt;/_modified&gt;&lt;_pages&gt;925-35&lt;/_pages&gt;&lt;_social_category&gt;康复医学(4) &amp;amp; 运动科学(4)&lt;/_social_category&gt;&lt;_subject_headings&gt;Adaptation, Physiological; Adult; Aged; Biomechanical Phenomena; Female; *Gait; Humans; Male; Middle Aged; Physical Therapy Modalities; Stroke/physiopathology; *Stroke Rehabilitation&lt;/_subject_headings&gt;&lt;_tertiary_title&gt;American journal of physical medicine &amp;amp; rehabilitation&lt;/_tertiary_title&gt;&lt;_type_work&gt;Journal Article; Research Support, Non-U.S. Gov&amp;apos;t&lt;/_type_work&gt;&lt;_url&gt;http://www.ncbi.nlm.nih.gov/entrez/query.fcgi?cmd=Retrieve&amp;amp;db=pubmed&amp;amp;dopt=Abstract&amp;amp;list_uids=14627929&amp;amp;query_hl=1&lt;/_url&gt;&lt;_volume&gt;82&lt;/_volume&gt;&lt;/Details&gt;&lt;Extra&gt;&lt;DBUID&gt;{4639BE48-E8DA-433D-936E-D6A27A715D41}&lt;/DBUID&gt;&lt;/Extra&gt;&lt;/Item&gt;&lt;/References&gt;&lt;/Group&gt;&lt;/Citation&gt;_x000a_"/>
    <w:docVar w:name="NE.Ref{83084525-CC8E-4BBA-910D-CD5A9641A5D7}" w:val=" ADDIN NE.Ref.{83084525-CC8E-4BBA-910D-CD5A9641A5D7}&lt;Citation&gt;&lt;Group&gt;&lt;References&gt;&lt;Item&gt;&lt;ID&gt;549&lt;/ID&gt;&lt;UID&gt;{FB59697A-D89A-4844-892C-073534B3F1E0}&lt;/UID&gt;&lt;Title&gt;Rehabilitation of gait after stroke: a review towards a top-down approach&lt;/Title&gt;&lt;Template&gt;Journal Article&lt;/Template&gt;&lt;Star&gt;0&lt;/Star&gt;&lt;Tag&gt;0&lt;/Tag&gt;&lt;Author&gt;Belda-Lois, Juan-Manuel; Mena-del Horno, Silvia; Bermejo-Bosch, Ignacio; Moreno, Juan C; Pons, Jose L; Farina, Dario; Iosa, Marco; Molinari, Marco; Tamburella, Federica; Ramos, Ander; Caria, Andrea; Solis-Escalante, Teodoro; Brunner, Clemens; Rea, Massimiliano&lt;/Author&gt;&lt;Year&gt;2011&lt;/Year&gt;&lt;Details&gt;&lt;_accessed&gt;65900058&lt;/_accessed&gt;&lt;_accession_num&gt;22165907&lt;/_accession_num&gt;&lt;_author_adr&gt;Instituto de Biomecanica de Valencia, Universitat Politecnica de Valencia,  Valencia, Spain. juanma.belda@ibv.upv.es&lt;/_author_adr&gt;&lt;_collection_scope&gt;SCIE&lt;/_collection_scope&gt;&lt;_created&gt;65900056&lt;/_created&gt;&lt;_date&gt;2011-12-13&lt;/_date&gt;&lt;_date_display&gt;2011 Dec 13&lt;/_date_display&gt;&lt;_db_updated&gt;PubMed&lt;/_db_updated&gt;&lt;_doi&gt;10.1186/1743-0003-8-66&lt;/_doi&gt;&lt;_impact_factor&gt;   5.200&lt;/_impact_factor&gt;&lt;_isbn&gt;1743-0003 (Electronic); 1743-0003 (Linking)&lt;/_isbn&gt;&lt;_journal&gt;J Neuroeng Rehabil&lt;/_journal&gt;&lt;_language&gt;eng&lt;/_language&gt;&lt;_modified&gt;65902847&lt;/_modified&gt;&lt;_pages&gt;66&lt;/_pages&gt;&lt;_social_category&gt;康复医学(1) &amp;amp; 工程：生物医学(2) &amp;amp; 神经科学(2)&lt;/_social_category&gt;&lt;_subject_headings&gt;Data Interpretation, Statistical; Electric Stimulation; Electroencephalography; Gait/*physiology; Humans; Learning; Movement; Neurophysiology; Robotics; Spectroscopy, Near-Infrared; *Stroke Rehabilitation; User-Computer Interface&lt;/_subject_headings&gt;&lt;_tertiary_title&gt;Journal of neuroengineering and rehabilitation&lt;/_tertiary_title&gt;&lt;_type_work&gt;Journal Article; Research Support, Non-U.S. Gov&amp;apos;t; Review&lt;/_type_work&gt;&lt;_url&gt;http://www.ncbi.nlm.nih.gov/entrez/query.fcgi?cmd=Retrieve&amp;amp;db=pubmed&amp;amp;dopt=Abstract&amp;amp;list_uids=22165907&amp;amp;query_hl=1&lt;/_url&gt;&lt;_volume&gt;8&lt;/_volume&gt;&lt;/Details&gt;&lt;Extra&gt;&lt;DBUID&gt;{4639BE48-E8DA-433D-936E-D6A27A715D41}&lt;/DBUID&gt;&lt;/Extra&gt;&lt;/Item&gt;&lt;/References&gt;&lt;/Group&gt;&lt;Group&gt;&lt;References&gt;&lt;Item&gt;&lt;ID&gt;550&lt;/ID&gt;&lt;UID&gt;{22C2D5D9-E1F4-4A65-8A58-DCB39FDC3D9E}&lt;/UID&gt;&lt;Title&gt;Reliability of gait performance tests in men and women with hemiparesis after stroke&lt;/Title&gt;&lt;Template&gt;Journal Article&lt;/Template&gt;&lt;Star&gt;0&lt;/Star&gt;&lt;Tag&gt;0&lt;/Tag&gt;&lt;Author&gt;Flansbjer, Ulla-Britt; Holmback, Anna Maria; Downham, David; Patten, Carolynn; Lexell, Jan&lt;/Author&gt;&lt;Year&gt;2005&lt;/Year&gt;&lt;Details&gt;&lt;_accession_num&gt;15788341&lt;/_accession_num&gt;&lt;_author_adr&gt;Department of Rehabilitation, Lund University Hospital, Lund, Sweden. ulla-britt  Flansbjer@skane.se&lt;/_author_adr&gt;&lt;_collection_scope&gt;SCIE&lt;/_collection_scope&gt;&lt;_created&gt;65900065&lt;/_created&gt;&lt;_date&gt;2005-03-01&lt;/_date&gt;&lt;_date_display&gt;2005 Mar&lt;/_date_display&gt;&lt;_db_updated&gt;PubMed&lt;/_db_updated&gt;&lt;_doi&gt;10.1080/16501970410017215&lt;/_doi&gt;&lt;_impact_factor&gt;   2.500&lt;/_impact_factor&gt;&lt;_isbn&gt;1650-1977 (Print); 1650-1977 (Linking)&lt;/_isbn&gt;&lt;_issue&gt;2&lt;/_issue&gt;&lt;_journal&gt;J Rehabil Med&lt;/_journal&gt;&lt;_language&gt;eng&lt;/_language&gt;&lt;_modified&gt;65902846&lt;/_modified&gt;&lt;_pages&gt;75-82&lt;/_pages&gt;&lt;_social_category&gt;康复医学(3) &amp;amp; 运动科学(4)&lt;/_social_category&gt;&lt;_subject_headings&gt;Activities of Daily Living; Aged; Female; *Gait; Humans; Male; Middle Aged; Outcome and Process Assessment, Health Care; Paresis/etiology/*physiopathology/rehabilitation; Recovery of Function; Reproducibility of Results; Stroke/complications/*physiopathology; Stroke Rehabilitation; *Walking&lt;/_subject_headings&gt;&lt;_tertiary_title&gt;Journal of rehabilitation medicine&lt;/_tertiary_title&gt;&lt;_type_work&gt;Journal Article; Research Support, Non-U.S. Gov&amp;apos;t&lt;/_type_work&gt;&lt;_url&gt;http://www.ncbi.nlm.nih.gov/entrez/query.fcgi?cmd=Retrieve&amp;amp;db=pubmed&amp;amp;dopt=Abstract&amp;amp;list_uids=15788341&amp;amp;query_hl=1&lt;/_url&gt;&lt;_volume&gt;37&lt;/_volume&gt;&lt;/Details&gt;&lt;Extra&gt;&lt;DBUID&gt;{4639BE48-E8DA-433D-936E-D6A27A715D41}&lt;/DBUID&gt;&lt;/Extra&gt;&lt;/Item&gt;&lt;/References&gt;&lt;/Group&gt;&lt;/Citation&gt;_x000a_"/>
    <w:docVar w:name="NE.Ref{83293EBD-431D-4FAA-8E7F-1D1577D2234C}" w:val=" ADDIN NE.Ref.{83293EBD-431D-4FAA-8E7F-1D1577D2234C}&lt;Citation&gt;&lt;Group&gt;&lt;References&gt;&lt;Item&gt;&lt;ID&gt;658&lt;/ID&gt;&lt;UID&gt;{16D93319-16C1-40B7-914E-5DF395E55846}&lt;/UID&gt;&lt;Title&gt;Poststroke Fatigue Is Related to Motor and Cognitive Performance: A Secondary Analysis&lt;/Title&gt;&lt;Template&gt;Journal Article&lt;/Template&gt;&lt;Star&gt;0&lt;/Star&gt;&lt;Tag&gt;0&lt;/Tag&gt;&lt;Author&gt;Goh, Hui-Ting; Stewart, Jill C&lt;/Author&gt;&lt;Year&gt;2019&lt;/Year&gt;&lt;Details&gt;&lt;_accession_num&gt;31436613&lt;/_accession_num&gt;&lt;_author_adr&gt;School of Physical Therapy, Texas Woman&amp;apos;s University, Dallas (H.-T.G.); and  Physical Therapy Program, Department of Exercise Science, University of South  Carolina, Columbia (J.C.S.).&lt;/_author_adr&gt;&lt;_collection_scope&gt;SCIE&lt;/_collection_scope&gt;&lt;_created&gt;65949041&lt;/_created&gt;&lt;_date&gt;2019-10-01&lt;/_date&gt;&lt;_date_display&gt;2019 Oct&lt;/_date_display&gt;&lt;_db_updated&gt;PubMed&lt;/_db_updated&gt;&lt;_doi&gt;10.1097/NPT.0000000000000290&lt;/_doi&gt;&lt;_impact_factor&gt;   2.600&lt;/_impact_factor&gt;&lt;_isbn&gt;1557-0584 (Electronic); 1557-0576 (Print); 1557-0576 (Linking)&lt;/_isbn&gt;&lt;_issue&gt;4&lt;/_issue&gt;&lt;_journal&gt;J Neurol Phys Ther&lt;/_journal&gt;&lt;_language&gt;eng&lt;/_language&gt;&lt;_modified&gt;65949041&lt;/_modified&gt;&lt;_pages&gt;233-239&lt;/_pages&gt;&lt;_social_category&gt;临床神经病学(4) &amp;amp; 康复医学(4)&lt;/_social_category&gt;&lt;_subject_headings&gt;Aged; Choice Behavior/physiology; Cognition/*physiology; Fatigue/*etiology/physiopathology; Female; Humans; Male; Middle Aged; Neuropsychological Tests; Reaction Time/physiology; Stroke/*complications/physiopathology; *Stroke Rehabilitation&lt;/_subject_headings&gt;&lt;_tertiary_title&gt;Journal of neurologic physical therapy : JNPT&lt;/_tertiary_title&gt;&lt;_type_work&gt;Journal Article; Research Support, Non-U.S. Gov&amp;apos;t&lt;/_type_work&gt;&lt;_url&gt;http://www.ncbi.nlm.nih.gov/entrez/query.fcgi?cmd=Retrieve&amp;amp;db=pubmed&amp;amp;dopt=Abstract&amp;amp;list_uids=31436613&amp;amp;query_hl=1&lt;/_url&gt;&lt;_volume&gt;43&lt;/_volume&gt;&lt;/Details&gt;&lt;Extra&gt;&lt;DBUID&gt;{4639BE48-E8DA-433D-936E-D6A27A715D41}&lt;/DBUID&gt;&lt;/Extra&gt;&lt;/Item&gt;&lt;/References&gt;&lt;/Group&gt;&lt;/Citation&gt;_x000a_"/>
    <w:docVar w:name="NE.Ref{83ADC313-9C11-43C6-9D20-C5DBF09D7109}" w:val=" ADDIN NE.Ref.{83ADC313-9C11-43C6-9D20-C5DBF09D7109}&lt;Citation&gt;&lt;Group&gt;&lt;References&gt;&lt;Item&gt;&lt;ID&gt;659&lt;/ID&gt;&lt;UID&gt;{708135F4-F52C-44ED-88A9-20A0BCDC2DC3}&lt;/UID&gt;&lt;Title&gt;POSTSTROKE FATIGUE AND MOTOR RECOVERY AFTER ISCHEMIC STROKE&lt;/Title&gt;&lt;Template&gt;Journal Article&lt;/Template&gt;&lt;Star&gt;0&lt;/Star&gt;&lt;Tag&gt;0&lt;/Tag&gt;&lt;Author&gt;Pulyk, Oleksandr; Hyryavets, Myroslava; Studeniak, Taras&lt;/Author&gt;&lt;Year&gt;2022&lt;/Year&gt;&lt;Details&gt;&lt;_accession_num&gt;35758453&lt;/_accession_num&gt;&lt;_author_adr&gt;UZHHOROD NATIONAL UNIVERSITY, UZHHOROD, UKRAINE.; UZHHOROD NATIONAL UNIVERSITY, UZHHOROD, UKRAINE.; UZHHOROD NATIONAL UNIVERSITY, UZHHOROD, UKRAINE.&lt;/_author_adr&gt;&lt;_created&gt;65949042&lt;/_created&gt;&lt;_date&gt;2022-01-20&lt;/_date&gt;&lt;_date_display&gt;2022&lt;/_date_display&gt;&lt;_db_updated&gt;PubMed&lt;/_db_updated&gt;&lt;_doi&gt;10.36740/WLek202205218&lt;/_doi&gt;&lt;_isbn&gt;0043-5147 (Print); 0043-5147 (Linking)&lt;/_isbn&gt;&lt;_issue&gt;5 pt 2&lt;/_issue&gt;&lt;_journal&gt;Wiad Lek&lt;/_journal&gt;&lt;_keywords&gt;ischemic stroke; paresis; post-stroke fatigue&lt;/_keywords&gt;&lt;_language&gt;eng&lt;/_language&gt;&lt;_modified&gt;65949042&lt;/_modified&gt;&lt;_pages&gt;1328-1330&lt;/_pages&gt;&lt;_subject_headings&gt;Fatigue/etiology; Humans; *Ischemic Stroke; Recovery of Function; *Stroke; *Stroke Rehabilitation/methods&lt;/_subject_headings&gt;&lt;_tertiary_title&gt;Wiadomosci lekarskie (Warsaw, Poland : 1960)&lt;/_tertiary_title&gt;&lt;_type_work&gt;Journal Article&lt;/_type_work&gt;&lt;_url&gt;http://www.ncbi.nlm.nih.gov/entrez/query.fcgi?cmd=Retrieve&amp;amp;db=pubmed&amp;amp;dopt=Abstract&amp;amp;list_uids=35758453&amp;amp;query_hl=1&lt;/_url&gt;&lt;_volume&gt;75&lt;/_volume&gt;&lt;/Details&gt;&lt;Extra&gt;&lt;DBUID&gt;{4639BE48-E8DA-433D-936E-D6A27A715D41}&lt;/DBUID&gt;&lt;/Extra&gt;&lt;/Item&gt;&lt;/References&gt;&lt;/Group&gt;&lt;/Citation&gt;_x000a_"/>
    <w:docVar w:name="NE.Ref{84BD5C86-EEB2-4C1E-8A2B-005A0A5761ED}" w:val=" ADDIN NE.Ref.{84BD5C86-EEB2-4C1E-8A2B-005A0A5761ED}&lt;Citation&gt;&lt;Group&gt;&lt;References&gt;&lt;Item&gt;&lt;ID&gt;653&lt;/ID&gt;&lt;UID&gt;{869C8065-1C6A-40A6-A106-CE29262FF1A9}&lt;/UID&gt;&lt;Title&gt;Biomechanical impairments and gait adaptations post-stroke: Multi-factorial associations&lt;/Title&gt;&lt;Template&gt;Journal Article&lt;/Template&gt;&lt;Star&gt;0&lt;/Star&gt;&lt;Tag&gt;0&lt;/Tag&gt;&lt;Author&gt;Cruz, Theresa Hayes; Lewek, Michael D; Dhaher, Yasin Y&lt;/Author&gt;&lt;Year&gt;2009&lt;/Year&gt;&lt;Details&gt;&lt;_accessed&gt;65957765&lt;/_accessed&gt;&lt;_accession_num&gt;19457488&lt;/_accession_num&gt;&lt;_author_adr&gt;Northwestern University Department of Biomedical Engineering, 345 East Superior  Street, Chicago, IL 60611, USA.&lt;/_author_adr&gt;&lt;_collection_scope&gt;SCIE;EI&lt;/_collection_scope&gt;&lt;_created&gt;65949034&lt;/_created&gt;&lt;_date&gt;2009-08-07&lt;/_date&gt;&lt;_date_display&gt;2009 Aug 7&lt;/_date_display&gt;&lt;_db_updated&gt;CrossRef&lt;/_db_updated&gt;&lt;_doi&gt;10.1016/j.jbiomech.2009.04.015&lt;/_doi&gt;&lt;_impact_factor&gt;   2.400&lt;/_impact_factor&gt;&lt;_isbn&gt;00219290&lt;/_isbn&gt;&lt;_issue&gt;11&lt;/_issue&gt;&lt;_journal&gt;Journal of Biomechanics&lt;/_journal&gt;&lt;_language&gt;eng&lt;/_language&gt;&lt;_modified&gt;65957765&lt;/_modified&gt;&lt;_pages&gt;1673-1677&lt;/_pages&gt;&lt;_social_category&gt;生物物理(2) &amp;amp; 工程：生物医学(3)&lt;/_social_category&gt;&lt;_subject_headings&gt;Aged; Ankle Joint/*anatomy &amp;amp; histology; Biomechanical Phenomena; Female; *Gait; Gait Disorders, Neurologic/rehabilitation; Hip; Humans; Knee Joint/*anatomy &amp;amp; histology; Male; Middle Aged; Regression Analysis; Stroke/complications/*physiopathology; Stroke Rehabilitation&lt;/_subject_headings&gt;&lt;_tertiary_title&gt;Journal of Biomechanics&lt;/_tertiary_title&gt;&lt;_type_work&gt;Journal Article; Research Support, Non-U.S. Gov&amp;apos;t; Research Support, U.S. Gov&amp;apos;t, Non-P.H.S.&lt;/_type_work&gt;&lt;_url&gt;https://linkinghub.elsevier.com/retrieve/pii/S0021929009002218_x000d__x000a_https://dul.usage.elsevier.com/doi/&lt;/_url&gt;&lt;_volume&gt;42&lt;/_volume&gt;&lt;/Details&gt;&lt;Extra&gt;&lt;DBUID&gt;{4639BE48-E8DA-433D-936E-D6A27A715D41}&lt;/DBUID&gt;&lt;/Extra&gt;&lt;/Item&gt;&lt;/References&gt;&lt;/Group&gt;&lt;/Citation&gt;_x000a_"/>
    <w:docVar w:name="NE.Ref{8808ABF9-E0ED-419A-9F6B-6763FFE1BA9D}" w:val=" ADDIN NE.Ref.{8808ABF9-E0ED-419A-9F6B-6763FFE1BA9D}&lt;Citation&gt;&lt;Group&gt;&lt;References&gt;&lt;Item&gt;&lt;ID&gt;668&lt;/ID&gt;&lt;UID&gt;{182CDE97-9760-4AF4-BB8F-7A868DD79882}&lt;/UID&gt;&lt;Title&gt;Restriction of pelvic lateral and rotational motions alters lower limb kinematics and muscle activation pattern during over-ground walking&lt;/Title&gt;&lt;Template&gt;Journal Article&lt;/Template&gt;&lt;Star&gt;0&lt;/Star&gt;&lt;Tag&gt;0&lt;/Tag&gt;&lt;Author&gt;Mun, Kyung-Ryoul; Guo, Zhao; Yu, Haoyong&lt;/Author&gt;&lt;Year&gt;2016&lt;/Year&gt;&lt;Details&gt;&lt;_accession_num&gt;26830107&lt;/_accession_num&gt;&lt;_author_adr&gt;Department of Biomedical Engineering, National University of Singapore, 9  Engineering Drive 1, Singapore, 117575, Republic of Singapore.; Department of Biomedical Engineering, National University of Singapore, 9  Engineering Drive 1, Singapore, 117575, Republic of Singapore.; Department of Biomedical Engineering, National University of Singapore, 9  Engineering Drive 1, Singapore, 117575, Republic of Singapore. bieyhy@nus.edu.sg.&lt;/_author_adr&gt;&lt;_date_display&gt;2016 Nov&lt;/_date_display&gt;&lt;_date&gt;2016-11-01&lt;/_date&gt;&lt;_doi&gt;10.1007/s11517-016-1450-8&lt;/_doi&gt;&lt;_isbn&gt;1741-0444 (Electronic); 0140-0118 (Linking)&lt;/_isbn&gt;&lt;_issue&gt;11&lt;/_issue&gt;&lt;_journal&gt;Med Biol Eng Comput&lt;/_journal&gt;&lt;_keywords&gt;Gait training; Over-ground walking; Pelvic lateral and rotational movements; Pelvic motion restriction; Robotic gait rehabilitation&lt;/_keywords&gt;&lt;_language&gt;eng&lt;/_language&gt;&lt;_pages&gt;1621-1629&lt;/_pages&gt;&lt;_subject_headings&gt;Adult; Biomechanical Phenomena; Electromyography; Gait/physiology; Humans; Lower Extremity/*physiology; *Motion; Muscle, Skeletal/*physiology; Pelvis/*physiology; Range of Motion, Articular/physiology; *Rotation; Walking/*physiology&lt;/_subject_headings&gt;&lt;_tertiary_title&gt;Medical &amp;amp; biological engineering &amp;amp; computing&lt;/_tertiary_title&gt;&lt;_type_work&gt;Clinical Trial; Journal Article&lt;/_type_work&gt;&lt;_url&gt;http://www.ncbi.nlm.nih.gov/entrez/query.fcgi?cmd=Retrieve&amp;amp;db=pubmed&amp;amp;dopt=Abstract&amp;amp;list_uids=26830107&amp;amp;query_hl=1&lt;/_url&gt;&lt;_volume&gt;54&lt;/_volume&gt;&lt;_created&gt;65949052&lt;/_created&gt;&lt;_modified&gt;65949052&lt;/_modified&gt;&lt;_db_updated&gt;PubMed&lt;/_db_updated&gt;&lt;_impact_factor&gt;   2.600&lt;/_impact_factor&gt;&lt;_social_category&gt;数学与计算生物学(3) &amp;amp; 计算机：跨学科应用(4) &amp;amp; 工程：生物医学(4) &amp;amp; 医学：信息(4)&lt;/_social_category&gt;&lt;_collection_scope&gt;SCIE;EI&lt;/_collection_scope&gt;&lt;/Details&gt;&lt;Extra&gt;&lt;DBUID&gt;{4639BE48-E8DA-433D-936E-D6A27A715D41}&lt;/DBUID&gt;&lt;/Extra&gt;&lt;/Item&gt;&lt;/References&gt;&lt;/Group&gt;&lt;/Citation&gt;_x000a_"/>
    <w:docVar w:name="NE.Ref{8F30E0BC-BB97-4836-8E35-05BD1E253AF4}" w:val=" ADDIN NE.Ref.{8F30E0BC-BB97-4836-8E35-05BD1E253AF4}&lt;Citation&gt;&lt;Group&gt;&lt;References&gt;&lt;Item&gt;&lt;ID&gt;660&lt;/ID&gt;&lt;UID&gt;{ACB93898-E6F6-4DF4-858F-9FAAAE66651D}&lt;/UID&gt;&lt;Title&gt;Altered biomechanical strategies of the paretic hip and knee joints during a step-up task&lt;/Title&gt;&lt;Template&gt;Journal Article&lt;/Template&gt;&lt;Star&gt;0&lt;/Star&gt;&lt;Tag&gt;0&lt;/Tag&gt;&lt;Author&gt;Goyal, Vatsala; Dragunas, Andrew; Askew, Robert L; Sukal-Moulton, Theresa; Lopez-Rosado, Roberto&lt;/Author&gt;&lt;Year&gt;2023&lt;/Year&gt;&lt;Details&gt;&lt;_accession_num&gt;36744516&lt;/_accession_num&gt;&lt;_author_adr&gt;Department of Physical Therapy and Human Movement Sciences, Northwestern  University, Chicago, IL, USA.; Department of Biomedical Engineering, Northwestern University, Evanston, IL, USA.; Department of Physical Therapy and Human Movement Sciences, Northwestern  University, Chicago, IL, USA.; Department of Biomedical Engineering, Northwestern University, Evanston, IL, USA.; Department of Psychology, Stetson University, DeLand, FL, USA.; Department of Physical Therapy and Human Movement Sciences, Northwestern  University, Chicago, IL, USA.; Department of Pediatrics, Northwestern University, Chicago, IL, USA.; Department of Physical Therapy and Human Movement Sciences, Northwestern  University, Chicago, IL, USA.&lt;/_author_adr&gt;&lt;_collection_scope&gt;SCIE&lt;/_collection_scope&gt;&lt;_created&gt;65949044&lt;/_created&gt;&lt;_date&gt;2023-03-01&lt;/_date&gt;&lt;_date_display&gt;2023 Mar&lt;/_date_display&gt;&lt;_db_updated&gt;PubMed&lt;/_db_updated&gt;&lt;_doi&gt;10.1080/10749357.2021.2008596&lt;/_doi&gt;&lt;_impact_factor&gt;   2.200&lt;/_impact_factor&gt;&lt;_isbn&gt;1945-5119 (Electronic); 1074-9357 (Print); 1074-9357 (Linking)&lt;/_isbn&gt;&lt;_issue&gt;2&lt;/_issue&gt;&lt;_journal&gt;Top Stroke Rehabil&lt;/_journal&gt;&lt;_keywords&gt;Stroke; biomechanics; paretic lower limb; stair ascent; step up&lt;/_keywords&gt;&lt;_language&gt;eng&lt;/_language&gt;&lt;_modified&gt;65949044&lt;/_modified&gt;&lt;_pages&gt;137-145&lt;/_pages&gt;&lt;_social_category&gt;康复医学(3)&lt;/_social_category&gt;&lt;_subject_headings&gt;Adult; Humans; Cross-Sectional Studies; *Stroke/complications; Lower Extremity; Knee Joint; Ankle; Biomechanical Phenomena; Gait&lt;/_subject_headings&gt;&lt;_tertiary_title&gt;Topics in stroke rehabilitation&lt;/_tertiary_title&gt;&lt;_type_work&gt;Journal Article; Research Support, N.I.H., Extramural&lt;/_type_work&gt;&lt;_url&gt;http://www.ncbi.nlm.nih.gov/entrez/query.fcgi?cmd=Retrieve&amp;amp;db=pubmed&amp;amp;dopt=Abstract&amp;amp;list_uids=36744516&amp;amp;query_hl=1&lt;/_url&gt;&lt;_volume&gt;30&lt;/_volume&gt;&lt;/Details&gt;&lt;Extra&gt;&lt;DBUID&gt;{4639BE48-E8DA-433D-936E-D6A27A715D41}&lt;/DBUID&gt;&lt;/Extra&gt;&lt;/Item&gt;&lt;/References&gt;&lt;/Group&gt;&lt;/Citation&gt;_x000a_"/>
    <w:docVar w:name="NE.Ref{950001AD-ADE4-47BB-817D-D5D8801C8E77}" w:val=" ADDIN NE.Ref.{950001AD-ADE4-47BB-817D-D5D8801C8E77}&lt;Citation&gt;&lt;Group&gt;&lt;References&gt;&lt;Item&gt;&lt;ID&gt;674&lt;/ID&gt;&lt;UID&gt;{B600FF05-8C8B-4E13-BEB9-B72A9640D5EF}&lt;/UID&gt;&lt;Title&gt;A public dataset of overground and treadmill walking kinematics and kinetics in healthy individuals&lt;/Title&gt;&lt;Template&gt;Journal Article&lt;/Template&gt;&lt;Star&gt;0&lt;/Star&gt;&lt;Tag&gt;0&lt;/Tag&gt;&lt;Author&gt;Fukuchi, Claudiane A; Fukuchi, Reginaldo K; Duarte, Marcos&lt;/Author&gt;&lt;Year&gt;2018&lt;/Year&gt;&lt;Details&gt;&lt;_accession_num&gt;29707431&lt;/_accession_num&gt;&lt;_author_adr&gt;Neuroscience and Cognition Program, Federal University of ABC, Sao Bernardo do  Campo, Brazil.; Biomedical Engineering Program, Federal University of ABC, Sao Bernardo do Campo,  Brazil.; Neuroscience and Cognition Program, Federal University of ABC, Sao Bernardo do  Campo, Brazil.; Biomedical Engineering Program, Federal University of ABC, Sao Bernardo do Campo,  Brazil.&lt;/_author_adr&gt;&lt;_collection_scope&gt;SCIE&lt;/_collection_scope&gt;&lt;_created&gt;65949722&lt;/_created&gt;&lt;_date&gt;2018-01-20&lt;/_date&gt;&lt;_date_display&gt;2018&lt;/_date_display&gt;&lt;_db_updated&gt;PubMed&lt;/_db_updated&gt;&lt;_doi&gt;10.7717/peerj.4640&lt;/_doi&gt;&lt;_impact_factor&gt;   2.300&lt;/_impact_factor&gt;&lt;_isbn&gt;2167-8359 (Print); 2167-8359 (Electronic); 2167-8359 (Linking)&lt;/_isbn&gt;&lt;_journal&gt;PeerJ&lt;/_journal&gt;&lt;_keywords&gt;Biomechanics; Gait; Human movement; Kinematics; Kinetics&lt;/_keywords&gt;&lt;_language&gt;eng&lt;/_language&gt;&lt;_modified&gt;65949722&lt;/_modified&gt;&lt;_pages&gt;e4640&lt;/_pages&gt;&lt;_social_category&gt;综合性期刊(3)&lt;/_social_category&gt;&lt;_tertiary_title&gt;PeerJ&lt;/_tertiary_title&gt;&lt;_type_work&gt;Journal Article&lt;/_type_work&gt;&lt;_url&gt;http://www.ncbi.nlm.nih.gov/entrez/query.fcgi?cmd=Retrieve&amp;amp;db=pubmed&amp;amp;dopt=Abstract&amp;amp;list_uids=29707431&amp;amp;query_hl=1&lt;/_url&gt;&lt;_volume&gt;6&lt;/_volume&gt;&lt;/Details&gt;&lt;Extra&gt;&lt;DBUID&gt;{4639BE48-E8DA-433D-936E-D6A27A715D41}&lt;/DBUID&gt;&lt;/Extra&gt;&lt;/Item&gt;&lt;/References&gt;&lt;/Group&gt;&lt;Group&gt;&lt;References&gt;&lt;Item&gt;&lt;ID&gt;675&lt;/ID&gt;&lt;UID&gt;{8E05A1BD-48AE-45CD-B016-6432EE47C83A}&lt;/UID&gt;&lt;Title&gt;Spinal kinematics during gait in healthy individuals across different age groups&lt;/Title&gt;&lt;Template&gt;Journal Article&lt;/Template&gt;&lt;Star&gt;0&lt;/Star&gt;&lt;Tag&gt;0&lt;/Tag&gt;&lt;Author&gt;Schmid, Stefan; Bruhin, Bjorn; Ignasiak, Dominika; Romkes, Jacqueline; Taylor, William R; Ferguson, Stephen J; Brunner, Reinald; Lorenzetti, Silvio&lt;/Author&gt;&lt;Year&gt;2017&lt;/Year&gt;&lt;Details&gt;&lt;_accession_num&gt;28410535&lt;/_accession_num&gt;&lt;_author_adr&gt;ETH Zurich, Institute for Biomechanics, HCP H 23.2, Leopold-Ruzicka-Weg 4, 8093  Zurich, Switzerland; Bern University of Applied Sciences, Health Division,  Murtenstrasse 10, 3008 Bern, Switzerland. Electronic address:  stefanschmid79@gmail.com.; ETH Zurich, Institute for Biomechanics, HCP H 23.2, Leopold-Ruzicka-Weg 4, 8093  Zurich, Switzerland; Swiss Federal Institute of Sports, Hauptstrasse 247, 2532  Magglingen, Switzerland.; ETH Zurich, Institute for Biomechanics, HCP H 23.2, Leopold-Ruzicka-Weg 4, 8093  Zurich, Switzerland.; University of Basel Children&amp;apos;s Hospital, Laboratory for Movement Analysis,  Spitalstrasse 33, 4056 Basel, Switzerland.; ETH Zurich, Institute for Biomechanics, HCP H 23.2, Leopold-Ruzicka-Weg 4, 8093  Zurich, Switzerland.; ETH Zurich, Institute for Biomechanics, HCP H 23.2, Leopold-Ruzicka-Weg 4, 8093  Zurich, Switzerland.; University of Basel Children&amp;apos;s Hospital, Laboratory for Movement Analysis,  Spitalstrasse 33, 4056 Basel, Switzerland; University of Basel Children&amp;apos;s  Hospital, Orthopaedic Department, Spitalstrasse 33, 4056 Basel, Switzerland.; ETH Zurich, Institute for Biomechanics, HCP H 23.2, Leopold-Ruzicka-Weg 4, 8093  Zurich, Switzerland.&lt;/_author_adr&gt;&lt;_collection_scope&gt;SCIE;SSCI&lt;/_collection_scope&gt;&lt;_created&gt;65949724&lt;/_created&gt;&lt;_date&gt;2017-08-01&lt;/_date&gt;&lt;_date_display&gt;2017 Aug&lt;/_date_display&gt;&lt;_db_updated&gt;PubMed&lt;/_db_updated&gt;&lt;_doi&gt;10.1016/j.humov.2017.04.001&lt;/_doi&gt;&lt;_impact_factor&gt;   1.600&lt;/_impact_factor&gt;&lt;_isbn&gt;1872-7646 (Electronic); 0167-9457 (Linking)&lt;/_isbn&gt;&lt;_journal&gt;Hum Mov Sci&lt;/_journal&gt;&lt;_keywords&gt;Adolescents; Adults; Gait analysis; Older individuals; Spine&lt;/_keywords&gt;&lt;_language&gt;eng&lt;/_language&gt;&lt;_modified&gt;65949724&lt;/_modified&gt;&lt;_ori_publication&gt;Copyright (c) 2017 Elsevier B.V. All rights reserved.&lt;/_ori_publication&gt;&lt;_pages&gt;73-81&lt;/_pages&gt;&lt;_social_category&gt;心理学(3) &amp;amp; 神经科学(4) &amp;amp; 心理学：实验(4) &amp;amp; 运动科学(4)&lt;/_social_category&gt;&lt;_subject_headings&gt;Adolescent; Adult; Aged; Biomechanical Phenomena; Child; Female; *Gait; Healthy Volunteers; Humans; Lumbar Vertebrae/*physiology; Male; Posture; Range of Motion, Articular; Rehabilitation/methods; Shoes; Thoracic Vertebrae/*physiology; Torso; Walking; Walking Speed; Young Adult&lt;/_subject_headings&gt;&lt;_tertiary_title&gt;Human movement science&lt;/_tertiary_title&gt;&lt;_type_work&gt;Journal Article&lt;/_type_work&gt;&lt;_url&gt;http://www.ncbi.nlm.nih.gov/entrez/query.fcgi?cmd=Retrieve&amp;amp;db=pubmed&amp;amp;dopt=Abstract&amp;amp;list_uids=28410535&amp;amp;query_hl=1&lt;/_url&gt;&lt;_volume&gt;54&lt;/_volume&gt;&lt;/Details&gt;&lt;Extra&gt;&lt;DBUID&gt;{4639BE48-E8DA-433D-936E-D6A27A715D41}&lt;/DBUID&gt;&lt;/Extra&gt;&lt;/Item&gt;&lt;/References&gt;&lt;/Group&gt;&lt;/Citation&gt;_x000a_"/>
    <w:docVar w:name="NE.Ref{965988C6-42EC-432F-AD68-82D08894EF89}" w:val=" ADDIN NE.Ref.{965988C6-42EC-432F-AD68-82D08894EF89}&lt;Citation&gt;&lt;Group&gt;&lt;References&gt;&lt;Item&gt;&lt;ID&gt;641&lt;/ID&gt;&lt;UID&gt;{5A9A4FDC-5027-415E-B048-90D991124388}&lt;/UID&gt;&lt;Title&gt;The relationship between spatiotemporal gait asymmetry and balance in individuals with chronic stroke&lt;/Title&gt;&lt;Template&gt;Journal Article&lt;/Template&gt;&lt;Star&gt;0&lt;/Star&gt;&lt;Tag&gt;0&lt;/Tag&gt;&lt;Author&gt;Lewek, Michael D; Bradley, Claire E; Wutzke, Clinton J; Zinder, Steven M&lt;/Author&gt;&lt;Year&gt;2014&lt;/Year&gt;&lt;Details&gt;&lt;_accession_num&gt;23677889&lt;/_accession_num&gt;&lt;_author_adr&gt;Department of Allied Health Sciences, Division of Physical Therapy, University of  North Carolina at Chapel Hill, and with the Interdisciplinary Program in Human  Movement Science, University of North Carolina at Chapel Hill, Chapel Hill, NC.&lt;/_author_adr&gt;&lt;_collection_scope&gt;SCIE;EI&lt;/_collection_scope&gt;&lt;_created&gt;65949012&lt;/_created&gt;&lt;_date&gt;2014-02-01&lt;/_date&gt;&lt;_date_display&gt;2014 Feb&lt;/_date_display&gt;&lt;_db_updated&gt;PubMed&lt;/_db_updated&gt;&lt;_doi&gt;10.1123/jab.2012-0208&lt;/_doi&gt;&lt;_impact_factor&gt;   1.100&lt;/_impact_factor&gt;&lt;_isbn&gt;1543-2688 (Electronic); 1065-8483 (Linking)&lt;/_isbn&gt;&lt;_issue&gt;1&lt;/_issue&gt;&lt;_journal&gt;J Appl Biomech&lt;/_journal&gt;&lt;_language&gt;eng&lt;/_language&gt;&lt;_modified&gt;65949012&lt;/_modified&gt;&lt;_pages&gt;31-6&lt;/_pages&gt;&lt;_social_category&gt;工程：生物医学(4) &amp;amp; 运动科学(4)&lt;/_social_category&gt;&lt;_subject_headings&gt;Chronic Disease; Female; Gait; Gait Disorders, Neurologic/etiology/*physiopathology; Humans; Leg/*physiopathology; Male; Middle Aged; *Physical Exertion; *Postural Balance; Statistics as Topic; Stress, Mechanical; Stroke/complications/*physiopathology; *Walking; *Weight-Bearing&lt;/_subject_headings&gt;&lt;_tertiary_title&gt;Journal of applied biomechanics&lt;/_tertiary_title&gt;&lt;_type_work&gt;Journal Article; Research Support, Non-U.S. Gov&amp;apos;t&lt;/_type_work&gt;&lt;_url&gt;http://www.ncbi.nlm.nih.gov/entrez/query.fcgi?cmd=Retrieve&amp;amp;db=pubmed&amp;amp;dopt=Abstract&amp;amp;list_uids=23677889&amp;amp;query_hl=1&lt;/_url&gt;&lt;_volume&gt;30&lt;/_volume&gt;&lt;/Details&gt;&lt;Extra&gt;&lt;DBUID&gt;{4639BE48-E8DA-433D-936E-D6A27A715D41}&lt;/DBUID&gt;&lt;/Extra&gt;&lt;/Item&gt;&lt;/References&gt;&lt;/Group&gt;&lt;Group&gt;&lt;References&gt;&lt;Item&gt;&lt;ID&gt;654&lt;/ID&gt;&lt;UID&gt;{6916A8C0-87DC-4D7A-B9DA-D6DDF960861C}&lt;/UID&gt;&lt;Title&gt;Relationships between mediolateral step modulation and clinical balance measures in people with chronic stroke&lt;/Title&gt;&lt;Template&gt;Journal Article&lt;/Template&gt;&lt;Star&gt;0&lt;/Star&gt;&lt;Tag&gt;0&lt;/Tag&gt;&lt;Author&gt;Howard, Keith E; Reimold, Nicholas K; Knight, Heather L; Embry, Aaron E; Knapp, Holly A; Agne, Alexa A; Jacobs, Camden J; Dean, Jesse C&lt;/Author&gt;&lt;Year&gt;2024&lt;/Year&gt;&lt;Details&gt;&lt;_accession_num&gt;38237508&lt;/_accession_num&gt;&lt;_author_adr&gt;College of Health Professions; Medical University of South Carolina, USA.; College of Health Professions; Medical University of South Carolina, USA.; College of Health Professions; Medical University of South Carolina, USA.; College of Health Professions; Medical University of South Carolina, USA; Ralph  H. Johnson Veterans Affairs Health Care System, Charleston, SC, USA.; College of Health Professions; Medical University of South Carolina, USA.; College of Health Professions; Medical University of South Carolina, USA.; College of Health Professions; Medical University of South Carolina, USA.; College of Health Professions; Medical University of South Carolina, USA; Ralph  H. Johnson Veterans Affairs Health Care System, Charleston, SC, USA. Electronic  address: deaje@musc.edu.&lt;/_author_adr&gt;&lt;_collection_scope&gt;SCIE&lt;/_collection_scope&gt;&lt;_created&gt;65949035&lt;/_created&gt;&lt;_date&gt;2024-03-01&lt;/_date&gt;&lt;_date_display&gt;2024 Mar&lt;/_date_display&gt;&lt;_db_updated&gt;PubMed&lt;/_db_updated&gt;&lt;_doi&gt;10.1016/j.gaitpost.2024.01.014&lt;/_doi&gt;&lt;_impact_factor&gt;   2.200&lt;/_impact_factor&gt;&lt;_isbn&gt;1879-2219 (Electronic); 0966-6362 (Print); 0966-6362 (Linking)&lt;/_isbn&gt;&lt;_journal&gt;Gait Posture&lt;/_journal&gt;&lt;_keywords&gt;Balance; Foot placement; Gait; Stroke&lt;/_keywords&gt;&lt;_language&gt;eng&lt;/_language&gt;&lt;_modified&gt;65949035&lt;/_modified&gt;&lt;_ori_publication&gt;Published by Elsevier B.V.&lt;/_ori_publication&gt;&lt;_pages&gt;9-14&lt;/_pages&gt;&lt;_social_category&gt;神经科学(3) &amp;amp; 骨科(3) &amp;amp; 运动科学(3)&lt;/_social_category&gt;&lt;_subject_headings&gt;Humans; *Stroke Rehabilitation; Cross-Sectional Studies; Biomechanical Phenomena; Fear; *Stroke/complications; Gait; Walking; Postural Balance&lt;/_subject_headings&gt;&lt;_tertiary_title&gt;Gait &amp;amp; posture&lt;/_tertiary_title&gt;&lt;_type_work&gt;Journal Article; Research Support, N.I.H., Extramural; Research Support, U.S. Gov&amp;apos;t, Non-P.H.S.&lt;/_type_work&gt;&lt;_url&gt;http://www.ncbi.nlm.nih.gov/entrez/query.fcgi?cmd=Retrieve&amp;amp;db=pubmed&amp;amp;dopt=Abstract&amp;amp;list_uids=38237508&amp;amp;query_hl=1&lt;/_url&gt;&lt;_volume&gt;109&lt;/_volume&gt;&lt;/Details&gt;&lt;Extra&gt;&lt;DBUID&gt;{4639BE48-E8DA-433D-936E-D6A27A715D41}&lt;/DBUID&gt;&lt;/Extra&gt;&lt;/Item&gt;&lt;/References&gt;&lt;/Group&gt;&lt;/Citation&gt;_x000a_"/>
    <w:docVar w:name="NE.Ref{9EBC2086-9E50-444F-A1D3-A1CE48AE3F96}" w:val=" ADDIN NE.Ref.{9EBC2086-9E50-444F-A1D3-A1CE48AE3F96}&lt;Citation&gt;&lt;Group&gt;&lt;References&gt;&lt;Item&gt;&lt;ID&gt;641&lt;/ID&gt;&lt;UID&gt;{5A9A4FDC-5027-415E-B048-90D991124388}&lt;/UID&gt;&lt;Title&gt;The relationship between spatiotemporal gait asymmetry and balance in individuals with chronic stroke&lt;/Title&gt;&lt;Template&gt;Journal Article&lt;/Template&gt;&lt;Star&gt;0&lt;/Star&gt;&lt;Tag&gt;0&lt;/Tag&gt;&lt;Author&gt;Lewek, Michael D; Bradley, Claire E; Wutzke, Clinton J; Zinder, Steven M&lt;/Author&gt;&lt;Year&gt;2014&lt;/Year&gt;&lt;Details&gt;&lt;_accession_num&gt;23677889&lt;/_accession_num&gt;&lt;_author_adr&gt;Department of Allied Health Sciences, Division of Physical Therapy, University of  North Carolina at Chapel Hill, and with the Interdisciplinary Program in Human  Movement Science, University of North Carolina at Chapel Hill, Chapel Hill, NC.&lt;/_author_adr&gt;&lt;_collection_scope&gt;SCIE;EI&lt;/_collection_scope&gt;&lt;_created&gt;65949012&lt;/_created&gt;&lt;_date&gt;2014-02-01&lt;/_date&gt;&lt;_date_display&gt;2014 Feb&lt;/_date_display&gt;&lt;_db_updated&gt;PubMed&lt;/_db_updated&gt;&lt;_doi&gt;10.1123/jab.2012-0208&lt;/_doi&gt;&lt;_impact_factor&gt;   1.100&lt;/_impact_factor&gt;&lt;_isbn&gt;1543-2688 (Electronic); 1065-8483 (Linking)&lt;/_isbn&gt;&lt;_issue&gt;1&lt;/_issue&gt;&lt;_journal&gt;J Appl Biomech&lt;/_journal&gt;&lt;_language&gt;eng&lt;/_language&gt;&lt;_modified&gt;65949012&lt;/_modified&gt;&lt;_pages&gt;31-6&lt;/_pages&gt;&lt;_social_category&gt;工程：生物医学(4) &amp;amp; 运动科学(4)&lt;/_social_category&gt;&lt;_subject_headings&gt;Chronic Disease; Female; Gait; Gait Disorders, Neurologic/etiology/*physiopathology; Humans; Leg/*physiopathology; Male; Middle Aged; *Physical Exertion; *Postural Balance; Statistics as Topic; Stress, Mechanical; Stroke/complications/*physiopathology; *Walking; *Weight-Bearing&lt;/_subject_headings&gt;&lt;_tertiary_title&gt;Journal of applied biomechanics&lt;/_tertiary_title&gt;&lt;_type_work&gt;Journal Article; Research Support, Non-U.S. Gov&amp;apos;t&lt;/_type_work&gt;&lt;_url&gt;http://www.ncbi.nlm.nih.gov/entrez/query.fcgi?cmd=Retrieve&amp;amp;db=pubmed&amp;amp;dopt=Abstract&amp;amp;list_uids=23677889&amp;amp;query_hl=1&lt;/_url&gt;&lt;_volume&gt;30&lt;/_volume&gt;&lt;/Details&gt;&lt;Extra&gt;&lt;DBUID&gt;{4639BE48-E8DA-433D-936E-D6A27A715D41}&lt;/DBUID&gt;&lt;/Extra&gt;&lt;/Item&gt;&lt;/References&gt;&lt;/Group&gt;&lt;/Citation&gt;_x000a_"/>
    <w:docVar w:name="NE.Ref{A3E8745D-2F6D-4B04-B46E-A9B7CF61684B}" w:val=" ADDIN NE.Ref.{A3E8745D-2F6D-4B04-B46E-A9B7CF61684B}&lt;Citation&gt;&lt;Group&gt;&lt;References&gt;&lt;Item&gt;&lt;ID&gt;642&lt;/ID&gt;&lt;UID&gt;{F7821F2D-D5F1-417E-B2E6-495EE2751FA8}&lt;/UID&gt;&lt;Title&gt;Patterns of asymmetry and energy cost generated from predictive simulations of hemiparetic gait&lt;/Title&gt;&lt;Template&gt;Journal Article&lt;/Template&gt;&lt;Star&gt;0&lt;/Star&gt;&lt;Tag&gt;0&lt;/Tag&gt;&lt;Author&gt;Johnson, Russell T; Bianco, Nicholas A; Finley, James M&lt;/Author&gt;&lt;Year&gt;2022&lt;/Year&gt;&lt;Details&gt;&lt;_accessed&gt;65949050&lt;/_accessed&gt;&lt;_accession_num&gt;36084139&lt;/_accession_num&gt;&lt;_author_adr&gt;Division of Biokinesiology and Physical Therapy, University of Southern  California, Los Angeles, California, United States of America.; Department of Mechanical Engineering, Stanford University, Palo Alto, California,  United States of America.; Division of Biokinesiology and Physical Therapy, University of Southern  California, Los Angeles, California, United States of America.; Department of Biomedical Engineering, University of Southern California, Los  Angeles, California, United States of America.; Neuroscience Graduate Program, University of Southern California, Los Angeles,  California, United States of America.&lt;/_author_adr&gt;&lt;_collection_scope&gt;SCIE;EI&lt;/_collection_scope&gt;&lt;_created&gt;65949013&lt;/_created&gt;&lt;_date&gt;2022-09-01&lt;/_date&gt;&lt;_date_display&gt;2022 Sep&lt;/_date_display&gt;&lt;_db_updated&gt;PubMed&lt;/_db_updated&gt;&lt;_doi&gt;10.1371/journal.pcbi.1010466&lt;/_doi&gt;&lt;_impact_factor&gt;   3.800&lt;/_impact_factor&gt;&lt;_isbn&gt;1553-7358 (Electronic); 1553-734X (Print); 1553-734X (Linking)&lt;/_isbn&gt;&lt;_issue&gt;9&lt;/_issue&gt;&lt;_journal&gt;PLoS Comput Biol&lt;/_journal&gt;&lt;_language&gt;eng&lt;/_language&gt;&lt;_modified&gt;65949050&lt;/_modified&gt;&lt;_pages&gt;e1010466&lt;/_pages&gt;&lt;_social_category&gt;生化研究方法(2) &amp;amp; 数学与计算生物学(2)&lt;/_social_category&gt;&lt;_subject_headings&gt;Computer Simulation; *Gait/physiology; Humans; Paresis; *Stroke; Walking/physiology&lt;/_subject_headings&gt;&lt;_tertiary_title&gt;PLoS computational biology&lt;/_tertiary_title&gt;&lt;_type_work&gt;Journal Article; Research Support, N.I.H., Extramural&lt;/_type_work&gt;&lt;_url&gt;http://www.ncbi.nlm.nih.gov/entrez/query.fcgi?cmd=Retrieve&amp;amp;db=pubmed&amp;amp;dopt=Abstract&amp;amp;list_uids=36084139&amp;amp;query_hl=1&lt;/_url&gt;&lt;_volume&gt;18&lt;/_volume&gt;&lt;/Details&gt;&lt;Extra&gt;&lt;DBUID&gt;{4639BE48-E8DA-433D-936E-D6A27A715D41}&lt;/DBUID&gt;&lt;/Extra&gt;&lt;/Item&gt;&lt;/References&gt;&lt;/Group&gt;&lt;/Citation&gt;_x000a_"/>
    <w:docVar w:name="NE.Ref{A6E2DAEB-7CC7-4FFE-8BE9-3D02A76B79CA}" w:val=" ADDIN NE.Ref.{A6E2DAEB-7CC7-4FFE-8BE9-3D02A76B79CA}&lt;Citation&gt;&lt;Group&gt;&lt;References&gt;&lt;Item&gt;&lt;ID&gt;655&lt;/ID&gt;&lt;UID&gt;{B2C6D95F-AE4B-4CF5-A0BE-51166466A339}&lt;/UID&gt;&lt;Title&gt;Trunk biomechanics during hemiplegic gait after stroke: A systematic review&lt;/Title&gt;&lt;Template&gt;Journal Article&lt;/Template&gt;&lt;Star&gt;0&lt;/Star&gt;&lt;Tag&gt;0&lt;/Tag&gt;&lt;Author&gt;Van Criekinge, Tamaya; Saeys, Wim; Hallemans, Ann; Velghe, Silke; Viskens, Pieter-Jan; Vereeck, Luc; De Hertogh, Willem; Truijen, Steven&lt;/Author&gt;&lt;Year&gt;2017&lt;/Year&gt;&lt;Details&gt;&lt;_accession_num&gt;28288334&lt;/_accession_num&gt;&lt;_author_adr&gt;Department of Rehabilitation Sciences and Physiotherapy, Faculty of Medicine and  Health Sciences, University of Antwerp, Universiteitsplein 1, 2610, Antwerp,  Belgium. Electronic address: tamaya.vancriekinge@uantwerpen.be.; Department of Rehabilitation Sciences and Physiotherapy, Faculty of Medicine and  Health Sciences, University of Antwerp, Universiteitsplein 1, 2610, Antwerp,  Belgium. Electronic address: wim.saeys@uantwerpen.be.; Department of Rehabilitation Sciences and Physiotherapy, Faculty of Medicine and  Health Sciences, University of Antwerp, Universiteitsplein 1, 2610, Antwerp,  Belgium. Electronic address: ann.hallemans@uantwerpen.be.; Department of Rehabilitation Sciences and Physiotherapy, Faculty of Medicine and  Health Sciences, University of Antwerp, Universiteitsplein 1, 2610, Antwerp,  Belgium.; Department of Rehabilitation Sciences and Physiotherapy, Faculty of Medicine and  Health Sciences, University of Antwerp, Universiteitsplein 1, 2610, Antwerp,  Belgium.; Department of Rehabilitation Sciences and Physiotherapy, Faculty of Medicine and  Health Sciences, University of Antwerp, Universiteitsplein 1, 2610, Antwerp,  Belgium. Electronic address: luc.vereeck@uantwerpen.be.; Department of Rehabilitation Sciences and Physiotherapy, Faculty of Medicine and  Health Sciences, University of Antwerp, Universiteitsplein 1, 2610, Antwerp,  Belgium. Electronic address: willem.dehertogh@uantwerpen.be.; Department of Rehabilitation Sciences and Physiotherapy, Faculty of Medicine and  Health Sciences, University of Antwerp, Universiteitsplein 1, 2610, Antwerp,  Belgium. Electronic address: steven.truijen@uantwerpen.be.&lt;/_author_adr&gt;&lt;_collection_scope&gt;SCIE&lt;/_collection_scope&gt;&lt;_created&gt;65949037&lt;/_created&gt;&lt;_date&gt;2017-05-01&lt;/_date&gt;&lt;_date_display&gt;2017 May&lt;/_date_display&gt;&lt;_db_updated&gt;PubMed&lt;/_db_updated&gt;&lt;_doi&gt;10.1016/j.gaitpost.2017.03.004&lt;/_doi&gt;&lt;_impact_factor&gt;   2.200&lt;/_impact_factor&gt;&lt;_isbn&gt;1879-2219 (Electronic); 0966-6362 (Linking)&lt;/_isbn&gt;&lt;_journal&gt;Gait Posture&lt;/_journal&gt;&lt;_keywords&gt;Biomechanics; Kinematics; Stroke; Trunk; Walking&lt;/_keywords&gt;&lt;_language&gt;eng&lt;/_language&gt;&lt;_modified&gt;65949037&lt;/_modified&gt;&lt;_ori_publication&gt;Copyright (c) 2017 Elsevier B.V. All rights reserved.&lt;/_ori_publication&gt;&lt;_pages&gt;133-143&lt;/_pages&gt;&lt;_social_category&gt;神经科学(3) &amp;amp; 骨科(3) &amp;amp; 运动科学(3)&lt;/_social_category&gt;&lt;_subject_headings&gt;Adult; Aged; Biomechanical Phenomena/*physiology; Female; Gait Disorders, Neurologic/*physiopathology/*rehabilitation; Humans; Male; Middle Aged; Pelvis/*physiopathology; Postural Balance/physiology; Stroke/*physiopathology; *Stroke Rehabilitation; Thorax/*physiopathology; Walking/physiology; Walking Speed/physiology&lt;/_subject_headings&gt;&lt;_tertiary_title&gt;Gait &amp;amp; posture&lt;/_tertiary_title&gt;&lt;_type_work&gt;Journal Article; Review; Systematic Review&lt;/_type_work&gt;&lt;_url&gt;http://www.ncbi.nlm.nih.gov/entrez/query.fcgi?cmd=Retrieve&amp;amp;db=pubmed&amp;amp;dopt=Abstract&amp;amp;list_uids=28288334&amp;amp;query_hl=1&lt;/_url&gt;&lt;_volume&gt;54&lt;/_volume&gt;&lt;/Details&gt;&lt;Extra&gt;&lt;DBUID&gt;{4639BE48-E8DA-433D-936E-D6A27A715D41}&lt;/DBUID&gt;&lt;/Extra&gt;&lt;/Item&gt;&lt;/References&gt;&lt;/Group&gt;&lt;Group&gt;&lt;References&gt;&lt;Item&gt;&lt;ID&gt;656&lt;/ID&gt;&lt;UID&gt;{2C75C4A8-C03F-4E74-B419-98A0F72C27C3}&lt;/UID&gt;&lt;Title&gt;Short-Step Adjustment and Proximal Compensatory Strategies Adopted by Stroke Survivors With Knee Extensor Spasticity for Obstacle Crossing&lt;/Title&gt;&lt;Template&gt;Journal Article&lt;/Template&gt;&lt;Star&gt;0&lt;/Star&gt;&lt;Tag&gt;0&lt;/Tag&gt;&lt;Author&gt;Huang, Shang-Jun; Yu, Xiao-Ming; Wang, Kuan; Wang, Le-Jun; Wu, Xu-Bo; Wu, Xie; Niu, Wen-Xin&lt;/Author&gt;&lt;Year&gt;2020&lt;/Year&gt;&lt;Details&gt;&lt;_accession_num&gt;32850762&lt;/_accession_num&gt;&lt;_author_adr&gt;Key Laboratory of Spine and Spinal Cord Injury Repair and Regeneration of  Ministry of Education, Orthopaedic Department, Tongji Hospital, Tongji University  School of Medicine, Shanghai, China.; Department of Rehabilitation, Shanghai Seventh People&amp;apos;s Hospital, Shanghai  University of Traditional Chinese Medicine, Shanghai, China.; Yangzhi Rehabilitation Hospital, Tongji University School of Medicine, Shanghai,  China.; Sport and Health Research Center, Physical Education Department, Tongji  University, Shanghai, China.; School of Rehabilitation Medicine, Shanghai University of Traditional Chinese  Medicine, Shanghai, China.; Key Laboratory of Exercise and Health Sciences, Ministry of Education, Shanghai  University of Sport, Shanghai, China.; Key Laboratory of Spine and Spinal Cord Injury Repair and Regeneration of  Ministry of Education, Orthopaedic Department, Tongji Hospital, Tongji University  School of Medicine, Shanghai, China.&lt;/_author_adr&gt;&lt;_collection_scope&gt;SCIE;EI&lt;/_collection_scope&gt;&lt;_created&gt;65949038&lt;/_created&gt;&lt;_date&gt;2020-01-20&lt;/_date&gt;&lt;_date_display&gt;2020&lt;/_date_display&gt;&lt;_db_updated&gt;PubMed&lt;/_db_updated&gt;&lt;_doi&gt;10.3389/fbioe.2020.00939&lt;/_doi&gt;&lt;_impact_factor&gt;   4.300&lt;/_impact_factor&gt;&lt;_isbn&gt;2296-4185 (Print); 2296-4185 (Electronic); 2296-4185 (Linking)&lt;/_isbn&gt;&lt;_journal&gt;Front Bioeng Biotechnol&lt;/_journal&gt;&lt;_keywords&gt;biomechanics; compensatory strategy; gait; spasticity; stroke&lt;/_keywords&gt;&lt;_language&gt;eng&lt;/_language&gt;&lt;_modified&gt;65949038&lt;/_modified&gt;&lt;_ori_publication&gt;Copyright (c) 2020 Huang, Yu, Wang, Wang, Wu, Wu and Niu.&lt;/_ori_publication&gt;&lt;_pages&gt;939&lt;/_pages&gt;&lt;_social_category&gt;生物工程与应用微生物(3) &amp;amp; 工程：生物医学(4)&lt;/_social_category&gt;&lt;_tertiary_title&gt;Frontiers in bioengineering and biotechnology&lt;/_tertiary_title&gt;&lt;_type_work&gt;Journal Article&lt;/_type_work&gt;&lt;_url&gt;http://www.ncbi.nlm.nih.gov/entrez/query.fcgi?cmd=Retrieve&amp;amp;db=pubmed&amp;amp;dopt=Abstract&amp;amp;list_uids=32850762&amp;amp;query_hl=1&lt;/_url&gt;&lt;_volume&gt;8&lt;/_volume&gt;&lt;/Details&gt;&lt;Extra&gt;&lt;DBUID&gt;{4639BE48-E8DA-433D-936E-D6A27A715D41}&lt;/DBUID&gt;&lt;/Extra&gt;&lt;/Item&gt;&lt;/References&gt;&lt;/Group&gt;&lt;/Citation&gt;_x000a_"/>
    <w:docVar w:name="NE.Ref{A75C6DF8-C19E-4349-A8F3-569201B7C663}" w:val=" ADDIN NE.Ref.{A75C6DF8-C19E-4349-A8F3-569201B7C663}&lt;Citation&gt;&lt;Group&gt;&lt;References&gt;&lt;Item&gt;&lt;ID&gt;653&lt;/ID&gt;&lt;UID&gt;{869C8065-1C6A-40A6-A106-CE29262FF1A9}&lt;/UID&gt;&lt;Title&gt;Biomechanical impairments and gait adaptations post-stroke: Multi-factorial associations&lt;/Title&gt;&lt;Template&gt;Journal Article&lt;/Template&gt;&lt;Star&gt;0&lt;/Star&gt;&lt;Tag&gt;0&lt;/Tag&gt;&lt;Author&gt;Cruz, Theresa Hayes; Lewek, Michael D; Dhaher, Yasin Y&lt;/Author&gt;&lt;Year&gt;2009&lt;/Year&gt;&lt;Details&gt;&lt;_accessed&gt;65957765&lt;/_accessed&gt;&lt;_accession_num&gt;19457488&lt;/_accession_num&gt;&lt;_author_adr&gt;Northwestern University Department of Biomedical Engineering, 345 East Superior  Street, Chicago, IL 60611, USA.&lt;/_author_adr&gt;&lt;_collection_scope&gt;SCIE;EI&lt;/_collection_scope&gt;&lt;_created&gt;65949034&lt;/_created&gt;&lt;_date&gt;2009-08-07&lt;/_date&gt;&lt;_date_display&gt;2009 Aug 7&lt;/_date_display&gt;&lt;_db_updated&gt;CrossRef&lt;/_db_updated&gt;&lt;_doi&gt;10.1016/j.jbiomech.2009.04.015&lt;/_doi&gt;&lt;_impact_factor&gt;   2.400&lt;/_impact_factor&gt;&lt;_isbn&gt;00219290&lt;/_isbn&gt;&lt;_issue&gt;11&lt;/_issue&gt;&lt;_journal&gt;Journal of Biomechanics&lt;/_journal&gt;&lt;_language&gt;eng&lt;/_language&gt;&lt;_modified&gt;65957765&lt;/_modified&gt;&lt;_pages&gt;1673-1677&lt;/_pages&gt;&lt;_social_category&gt;生物物理(2) &amp;amp; 工程：生物医学(3)&lt;/_social_category&gt;&lt;_subject_headings&gt;Aged; Ankle Joint/*anatomy &amp;amp; histology; Biomechanical Phenomena; Female; *Gait; Gait Disorders, Neurologic/rehabilitation; Hip; Humans; Knee Joint/*anatomy &amp;amp; histology; Male; Middle Aged; Regression Analysis; Stroke/complications/*physiopathology; Stroke Rehabilitation&lt;/_subject_headings&gt;&lt;_tertiary_title&gt;Journal of Biomechanics&lt;/_tertiary_title&gt;&lt;_type_work&gt;Journal Article; Research Support, Non-U.S. Gov&amp;apos;t; Research Support, U.S. Gov&amp;apos;t, Non-P.H.S.&lt;/_type_work&gt;&lt;_url&gt;https://linkinghub.elsevier.com/retrieve/pii/S0021929009002218_x000d__x000a_https://dul.usage.elsevier.com/doi/&lt;/_url&gt;&lt;_volume&gt;42&lt;/_volume&gt;&lt;/Details&gt;&lt;Extra&gt;&lt;DBUID&gt;{4639BE48-E8DA-433D-936E-D6A27A715D41}&lt;/DBUID&gt;&lt;/Extra&gt;&lt;/Item&gt;&lt;/References&gt;&lt;/Group&gt;&lt;/Citation&gt;_x000a_"/>
    <w:docVar w:name="NE.Ref{AEC52857-C27C-4264-A1C0-31B2FD3D4DA5}" w:val=" ADDIN NE.Ref.{AEC52857-C27C-4264-A1C0-31B2FD3D4DA5}&lt;Citation&gt;&lt;Group&gt;&lt;References&gt;&lt;Item&gt;&lt;ID&gt;657&lt;/ID&gt;&lt;UID&gt;{E6AA5F76-CA2E-49EB-A7B4-A737E60F95D3}&lt;/UID&gt;&lt;Title&gt;Consequences of lower extremity and trunk muscle fatigue on balance and functional tasks in older people: a systematic literature review&lt;/Title&gt;&lt;Template&gt;Journal Article&lt;/Template&gt;&lt;Star&gt;0&lt;/Star&gt;&lt;Tag&gt;0&lt;/Tag&gt;&lt;Author&gt;Helbostad, Jorunn L; Sturnieks, Daina L; Menant, Jasmine; Delbaere, Kim; Lord, Stephen R; Pijnappels, Mirjam&lt;/Author&gt;&lt;Year&gt;2010&lt;/Year&gt;&lt;Details&gt;&lt;_accession_num&gt;20716373&lt;/_accession_num&gt;&lt;_author_adr&gt;Department of Neuroscience, NTNU, Trondheim, Norway. jorunn.helbostad@ntnu.no&lt;/_author_adr&gt;&lt;_collection_scope&gt;SCIE;SSCI&lt;/_collection_scope&gt;&lt;_created&gt;65949041&lt;/_created&gt;&lt;_date&gt;2010-08-17&lt;/_date&gt;&lt;_date_display&gt;2010 Aug 17&lt;/_date_display&gt;&lt;_db_updated&gt;PubMed&lt;/_db_updated&gt;&lt;_doi&gt;10.1186/1471-2318-10-56&lt;/_doi&gt;&lt;_impact_factor&gt;   3.400&lt;/_impact_factor&gt;&lt;_isbn&gt;1471-2318 (Electronic); 1471-2318 (Linking)&lt;/_isbn&gt;&lt;_journal&gt;BMC Geriatr&lt;/_journal&gt;&lt;_language&gt;eng&lt;/_language&gt;&lt;_modified&gt;65949041&lt;/_modified&gt;&lt;_pages&gt;56&lt;/_pages&gt;&lt;_social_category&gt;老年医学(2)&lt;/_social_category&gt;&lt;_subject_headings&gt;Adolescent; Age Factors; Aged; Aged, 80 and over; Humans; Lower Extremity/physiology; Middle Aged; Muscle Fatigue/*physiology; Muscle Strength/physiology; Muscle, Skeletal/*physiology; Postural Balance/*physiology; Psychomotor Performance/*physiology; Random Allocation; Young Adult&lt;/_subject_headings&gt;&lt;_tertiary_title&gt;BMC geriatrics&lt;/_tertiary_title&gt;&lt;_type_work&gt;Comparative Study; Journal Article; Research Support, Non-U.S. Gov&amp;apos;t; Review; Systematic Review&lt;/_type_work&gt;&lt;_url&gt;http://www.ncbi.nlm.nih.gov/entrez/query.fcgi?cmd=Retrieve&amp;amp;db=pubmed&amp;amp;dopt=Abstract&amp;amp;list_uids=20716373&amp;amp;query_hl=1&lt;/_url&gt;&lt;_volume&gt;10&lt;/_volume&gt;&lt;/Details&gt;&lt;Extra&gt;&lt;DBUID&gt;{4639BE48-E8DA-433D-936E-D6A27A715D41}&lt;/DBUID&gt;&lt;/Extra&gt;&lt;/Item&gt;&lt;/References&gt;&lt;/Group&gt;&lt;/Citation&gt;_x000a_"/>
    <w:docVar w:name="NE.Ref{BB4FF907-E5BF-4769-9180-72CC85B588B9}" w:val=" ADDIN NE.Ref.{BB4FF907-E5BF-4769-9180-72CC85B588B9}&lt;Citation&gt;&lt;Group&gt;&lt;References&gt;&lt;Item&gt;&lt;ID&gt;652&lt;/ID&gt;&lt;UID&gt;{5ADD0935-077B-4CB3-8823-E645B856EF0F}&lt;/UID&gt;&lt;Title&gt;Deficits in intersegmental trunk coordination during walking are related to clinical balance and gait function in chronic stroke&lt;/Title&gt;&lt;Template&gt;Journal Article&lt;/Template&gt;&lt;Star&gt;0&lt;/Star&gt;&lt;Tag&gt;0&lt;/Tag&gt;&lt;Author&gt;Hacmon, Revital R; Krasovsky, Tal; Lamontagne, Anouk; Levin, Mindy F&lt;/Author&gt;&lt;Year&gt;2012&lt;/Year&gt;&lt;Details&gt;&lt;_accession_num&gt;23095903&lt;/_accession_num&gt;&lt;_author_adr&gt;School of Physical and Occupational Therapy, McGill University, Montreal, and  Center for Interdisciplinary Research in Rehabilitation, Feil and Oberfeld  Research Center, Jewish Rehabilitation Hospital, Laval, Quebec, Canada.&lt;/_author_adr&gt;&lt;_collection_scope&gt;SCIE&lt;/_collection_scope&gt;&lt;_created&gt;65949029&lt;/_created&gt;&lt;_date&gt;2012-12-01&lt;/_date&gt;&lt;_date_display&gt;2012 Dec&lt;/_date_display&gt;&lt;_db_updated&gt;PubMed&lt;/_db_updated&gt;&lt;_doi&gt;10.1097/NPT.0b013e31827374c1&lt;/_doi&gt;&lt;_impact_factor&gt;   2.600&lt;/_impact_factor&gt;&lt;_isbn&gt;1557-0584 (Electronic); 1557-0576 (Linking)&lt;/_isbn&gt;&lt;_issue&gt;4&lt;/_issue&gt;&lt;_journal&gt;J Neurol Phys Ther&lt;/_journal&gt;&lt;_language&gt;eng&lt;/_language&gt;&lt;_modified&gt;65949029&lt;/_modified&gt;&lt;_pages&gt;173-81&lt;/_pages&gt;&lt;_social_category&gt;临床神经病学(4) &amp;amp; 康复医学(4)&lt;/_social_category&gt;&lt;_subject_headings&gt;Aged; Biomechanical Phenomena/physiology; Exercise Test; Female; Gait/*physiology; Humans; Male; Middle Aged; Postural Balance/*physiology; Range of Motion, Articular/physiology; Stroke/*physiopathology; Walking/*physiology&lt;/_subject_headings&gt;&lt;_tertiary_title&gt;Journal of neurologic physical therapy : JNPT&lt;/_tertiary_title&gt;&lt;_type_work&gt;Journal Article; Research Support, Non-U.S. Gov&amp;apos;t&lt;/_type_work&gt;&lt;_url&gt;http://www.ncbi.nlm.nih.gov/entrez/query.fcgi?cmd=Retrieve&amp;amp;db=pubmed&amp;amp;dopt=Abstract&amp;amp;list_uids=23095903&amp;amp;query_hl=1&lt;/_url&gt;&lt;_volume&gt;36&lt;/_volume&gt;&lt;/Details&gt;&lt;Extra&gt;&lt;DBUID&gt;{4639BE48-E8DA-433D-936E-D6A27A715D41}&lt;/DBUID&gt;&lt;/Extra&gt;&lt;/Item&gt;&lt;/References&gt;&lt;/Group&gt;&lt;/Citation&gt;_x000a_"/>
    <w:docVar w:name="NE.Ref{C0811668-11AA-46BA-81FA-994539BB4A4A}" w:val=" ADDIN NE.Ref.{C0811668-11AA-46BA-81FA-994539BB4A4A}&lt;Citation&gt;&lt;Group&gt;&lt;References&gt;&lt;Item&gt;&lt;ID&gt;663&lt;/ID&gt;&lt;UID&gt;{93FB0CF3-F2C1-4481-A985-0837357A9F2B}&lt;/UID&gt;&lt;Title&gt;Effect of a rigid ankle foot orthosis and an ankle foot orthosis with an oil damper plantar flexion resistance on pelvic and thoracic movements of patients with stroke during gait&lt;/Title&gt;&lt;Template&gt;Journal Article&lt;/Template&gt;&lt;Star&gt;0&lt;/Star&gt;&lt;Tag&gt;0&lt;/Tag&gt;&lt;Author&gt;Ling, Hua; Guo, Hui; Zhou, Hao; Chang, Xiao-Qian; Guo, Zi-Yang; Yamamoto, Sumiko; Cai, Li-Fei; Zhao, Jun&lt;/Author&gt;&lt;Year&gt;2023&lt;/Year&gt;&lt;Details&gt;&lt;_accession_num&gt;36747170&lt;/_accession_num&gt;&lt;_author_adr&gt;Rehabilitation Engineering Institute, China Rehabilitation Science Institute,  No.18, Jiaomen Beilu, Beijing, 100068, China.; Beijing Bo&amp;apos;ai Hospital, China Rehabilitation Research Center, No.10, Jiaomen  Beilu, Beijing, 100068, China.; Beijing Bo&amp;apos;ai Hospital, China Rehabilitation Research Center, No.10, Jiaomen  Beilu, Beijing, 100068, China.; Rehabilitation Engineering Institute, China Rehabilitation Science Institute,  No.18, Jiaomen Beilu, Beijing, 100068, China.; Rehabilitation Engineering Institute, China Rehabilitation Science Institute,  No.18, Jiaomen Beilu, Beijing, 100068, China.; Graduate School, International University of Health &amp;amp; Welfare, 4‑1‑26 Akasaka,  Minato‑ku, Tokyo, 107‑8402, Japan.; Rehabilitation Engineering Institute, China Rehabilitation Science Institute,  No.18, Jiaomen Beilu, Beijing, 100068, China. clifei2011@163.com.; Beijing Bo&amp;apos;ai Hospital, China Rehabilitation Research Center, No.10, Jiaomen  Beilu, Beijing, 100068, China. zaojun@sohu.com.&lt;/_author_adr&gt;&lt;_collection_scope&gt;SCIE;EI&lt;/_collection_scope&gt;&lt;_created&gt;65949046&lt;/_created&gt;&lt;_date&gt;2023-02-06&lt;/_date&gt;&lt;_date_display&gt;2023 Feb 6&lt;/_date_display&gt;&lt;_db_updated&gt;PubMed&lt;/_db_updated&gt;&lt;_doi&gt;10.1186/s12938-023-01068-0&lt;/_doi&gt;&lt;_impact_factor&gt;   2.900&lt;/_impact_factor&gt;&lt;_isbn&gt;1475-925X (Electronic); 1475-925X (Linking)&lt;/_isbn&gt;&lt;_issue&gt;1&lt;/_issue&gt;&lt;_journal&gt;Biomed Eng Online&lt;/_journal&gt;&lt;_keywords&gt;Ankle-foot orthosis; Biomechanics; Gait; Rehabilitation; Stroke; Trunk movement&lt;/_keywords&gt;&lt;_language&gt;eng&lt;/_language&gt;&lt;_modified&gt;65949046&lt;/_modified&gt;&lt;_ori_publication&gt;(c) 2023. The Author(s).&lt;/_ori_publication&gt;&lt;_pages&gt;9&lt;/_pages&gt;&lt;_social_category&gt;工程：生物医学(4)&lt;/_social_category&gt;&lt;_subject_headings&gt;Humans; Ankle; Ankle Joint; Biomechanical Phenomena; *Foot Orthoses; Gait; Range of Motion, Articular; *Stroke/complications/therapy; *Stroke Rehabilitation&lt;/_subject_headings&gt;&lt;_tertiary_title&gt;Biomedical engineering online&lt;/_tertiary_title&gt;&lt;_type_work&gt;Journal Article; Randomized Controlled Trial&lt;/_type_work&gt;&lt;_url&gt;http://www.ncbi.nlm.nih.gov/entrez/query.fcgi?cmd=Retrieve&amp;amp;db=pubmed&amp;amp;dopt=Abstract&amp;amp;list_uids=36747170&amp;amp;query_hl=1&lt;/_url&gt;&lt;_volume&gt;22&lt;/_volume&gt;&lt;/Details&gt;&lt;Extra&gt;&lt;DBUID&gt;{4639BE48-E8DA-433D-936E-D6A27A715D41}&lt;/DBUID&gt;&lt;/Extra&gt;&lt;/Item&gt;&lt;/References&gt;&lt;/Group&gt;&lt;/Citation&gt;_x000a_"/>
    <w:docVar w:name="NE.Ref{C3AD2797-B6CE-40FF-A426-A1044EF80186}" w:val=" ADDIN NE.Ref.{C3AD2797-B6CE-40FF-A426-A1044EF80186}&lt;Citation&gt;&lt;Group&gt;&lt;References&gt;&lt;Item&gt;&lt;ID&gt;650&lt;/ID&gt;&lt;UID&gt;{72DC3C31-26A8-48D4-856B-DA58953BA36C}&lt;/UID&gt;&lt;Title&gt;2016版中国脑血管病诊治指南与共识&lt;/Title&gt;&lt;Template&gt;Book&lt;/Template&gt;&lt;Star&gt;0&lt;/Star&gt;&lt;Tag&gt;0&lt;/Tag&gt;&lt;Author&gt;中华医学会神经病学分会&lt;/Author&gt;&lt;Year&gt;0&lt;/Year&gt;&lt;Details&gt;&lt;_created&gt;65949023&lt;/_created&gt;&lt;_db_provider&gt;CNKI&lt;/_db_provider&gt;&lt;_db_updated&gt;CNKI - Reference&lt;/_db_updated&gt;&lt;_isbn&gt;978-7-117-23726-0&lt;/_isbn&gt;&lt;_modified&gt;65949023&lt;/_modified&gt;&lt;_pages&gt;405&lt;/_pages&gt;&lt;_publisher&gt;人民卫生出版社&lt;/_publisher&gt;&lt;_translated_author&gt;Zhong, Huayixuehuishenjingbingxuefenhui&lt;/_translated_author&gt;&lt;/Details&gt;&lt;Extra&gt;&lt;DBUID&gt;{4639BE48-E8DA-433D-936E-D6A27A715D41}&lt;/DBUID&gt;&lt;/Extra&gt;&lt;/Item&gt;&lt;/References&gt;&lt;/Group&gt;&lt;/Citation&gt;_x000a_"/>
    <w:docVar w:name="NE.Ref{CD2909C6-DEFD-4E14-BB21-3EAFFE0FB640}" w:val=" ADDIN NE.Ref.{CD2909C6-DEFD-4E14-BB21-3EAFFE0FB640}&lt;Citation&gt;&lt;Group&gt;&lt;References&gt;&lt;Item&gt;&lt;ID&gt;645&lt;/ID&gt;&lt;UID&gt;{5A3F3CBC-4BA3-4803-91FE-5BAEE34B70CF}&lt;/UID&gt;&lt;Title&gt;Reduced ambulatory activity after stroke: the role of balance, gait, and cardiovascular fitness&lt;/Title&gt;&lt;Template&gt;Journal Article&lt;/Template&gt;&lt;Star&gt;0&lt;/Star&gt;&lt;Tag&gt;0&lt;/Tag&gt;&lt;Author&gt;Michael, Kathleen M; Allen, Jerilyn K; Macko, Richard F&lt;/Author&gt;&lt;Year&gt;2005&lt;/Year&gt;&lt;Details&gt;&lt;_accessed&gt;65949040&lt;/_accessed&gt;&lt;_accession_num&gt;16084807&lt;/_accession_num&gt;&lt;_author_adr&gt;Division of Gerontology, University of Maryland School of Medicine, Baltimore, MD  21201, USA. kmichael@grecc.umaryland.edu&lt;/_author_adr&gt;&lt;_collection_scope&gt;SCIE&lt;/_collection_scope&gt;&lt;_created&gt;65949016&lt;/_created&gt;&lt;_date&gt;2005-08-01&lt;/_date&gt;&lt;_date_display&gt;2005 Aug&lt;/_date_display&gt;&lt;_db_updated&gt;PubMed&lt;/_db_updated&gt;&lt;_doi&gt;10.1016/j.apmr.2004.12.026&lt;/_doi&gt;&lt;_impact_factor&gt;   3.600&lt;/_impact_factor&gt;&lt;_isbn&gt;0003-9993 (Print); 0003-9993 (Linking)&lt;/_isbn&gt;&lt;_issue&gt;8&lt;/_issue&gt;&lt;_journal&gt;Arch Phys Med Rehabil&lt;/_journal&gt;&lt;_language&gt;eng&lt;/_language&gt;&lt;_modified&gt;65949040&lt;/_modified&gt;&lt;_pages&gt;1552-6&lt;/_pages&gt;&lt;_social_category&gt;康复医学(2) &amp;amp; 运动科学(3)&lt;/_social_category&gt;&lt;_subject_headings&gt;Aged; Aged, 80 and over; Disability Evaluation; Female; Gait/*physiology; Hemiplegia/*physiopathology/*rehabilitation; Humans; Linear Models; Male; Middle Aged; *Physical Fitness; Postural Balance/*physiology; Stroke/*physiopathology; *Stroke Rehabilitation&lt;/_subject_headings&gt;&lt;_tertiary_title&gt;Archives of physical medicine and rehabilitation&lt;/_tertiary_title&gt;&lt;_type_work&gt;Journal Article; Research Support, N.I.H., Extramural; Research Support, U.S. Gov&amp;apos;t, P.H.S.&lt;/_type_work&gt;&lt;_url&gt;http://www.ncbi.nlm.nih.gov/entrez/query.fcgi?cmd=Retrieve&amp;amp;db=pubmed&amp;amp;dopt=Abstract&amp;amp;list_uids=16084807&amp;amp;query_hl=1&lt;/_url&gt;&lt;_volume&gt;86&lt;/_volume&gt;&lt;/Details&gt;&lt;Extra&gt;&lt;DBUID&gt;{4639BE48-E8DA-433D-936E-D6A27A715D41}&lt;/DBUID&gt;&lt;/Extra&gt;&lt;/Item&gt;&lt;/References&gt;&lt;/Group&gt;&lt;/Citation&gt;_x000a_"/>
    <w:docVar w:name="NE.Ref{D45C564B-0CDE-4038-B742-A19F65976954}" w:val=" ADDIN NE.Ref.{D45C564B-0CDE-4038-B742-A19F65976954}&lt;Citation&gt;&lt;Group&gt;&lt;References&gt;&lt;Item&gt;&lt;ID&gt;664&lt;/ID&gt;&lt;UID&gt;{1C6FE2B0-5D95-4A11-8C6A-8E8062723609}&lt;/UID&gt;&lt;Title&gt;Variability in spatiotemporal step characteristics and its relationship to walking performance post-stroke&lt;/Title&gt;&lt;Template&gt;Journal Article&lt;/Template&gt;&lt;Star&gt;0&lt;/Star&gt;&lt;Tag&gt;0&lt;/Tag&gt;&lt;Author&gt;Balasubramanian, Chitralakshmi K; Neptune, Richard R; Kautz, Steven A&lt;/Author&gt;&lt;Year&gt;2009&lt;/Year&gt;&lt;Details&gt;&lt;_accession_num&gt;19056272&lt;/_accession_num&gt;&lt;_author_adr&gt;Department of Athletic Training and Physical Therapy, Brooks College of Health,  University of North Florida, Jacksonville, 32224, United States.&lt;/_author_adr&gt;&lt;_collection_scope&gt;SCIE&lt;/_collection_scope&gt;&lt;_created&gt;65949048&lt;/_created&gt;&lt;_date&gt;2009-04-01&lt;/_date&gt;&lt;_date_display&gt;2009 Apr&lt;/_date_display&gt;&lt;_db_updated&gt;PubMed&lt;/_db_updated&gt;&lt;_doi&gt;10.1016/j.gaitpost.2008.10.061&lt;/_doi&gt;&lt;_impact_factor&gt;   2.200&lt;/_impact_factor&gt;&lt;_isbn&gt;1879-2219 (Electronic); 0966-6362 (Print); 0966-6362 (Linking)&lt;/_isbn&gt;&lt;_issue&gt;3&lt;/_issue&gt;&lt;_journal&gt;Gait Posture&lt;/_journal&gt;&lt;_language&gt;eng&lt;/_language&gt;&lt;_modified&gt;65949048&lt;/_modified&gt;&lt;_pages&gt;408-14&lt;/_pages&gt;&lt;_social_category&gt;神经科学(3) &amp;amp; 骨科(3) &amp;amp; 运动科学(3)&lt;/_social_category&gt;&lt;_subject_headings&gt;Aged; Gait/*physiology; Hemiplegia/*physiopathology; Humans; Male; Middle Aged; Stroke/*physiopathology; Walking/*physiology&lt;/_subject_headings&gt;&lt;_tertiary_title&gt;Gait &amp;amp; posture&lt;/_tertiary_title&gt;&lt;_type_work&gt;Comparative Study; Journal Article; Research Support, N.I.H., Extramural; Research Support, Non-U.S. Gov&amp;apos;t; Research Support, U.S. Gov&amp;apos;t, Non-P.H.S.&lt;/_type_work&gt;&lt;_url&gt;http://www.ncbi.nlm.nih.gov/entrez/query.fcgi?cmd=Retrieve&amp;amp;db=pubmed&amp;amp;dopt=Abstract&amp;amp;list_uids=19056272&amp;amp;query_hl=1&lt;/_url&gt;&lt;_volume&gt;29&lt;/_volume&gt;&lt;/Details&gt;&lt;Extra&gt;&lt;DBUID&gt;{4639BE48-E8DA-433D-936E-D6A27A715D41}&lt;/DBUID&gt;&lt;/Extra&gt;&lt;/Item&gt;&lt;/References&gt;&lt;/Group&gt;&lt;Group&gt;&lt;References&gt;&lt;Item&gt;&lt;ID&gt;665&lt;/ID&gt;&lt;UID&gt;{E4CE9502-957C-4648-8B44-0E6F8F57C343}&lt;/UID&gt;&lt;Title&gt;Gait characteristics of post-stroke hemiparetic patients with different walking speeds&lt;/Title&gt;&lt;Template&gt;Journal Article&lt;/Template&gt;&lt;Star&gt;0&lt;/Star&gt;&lt;Tag&gt;0&lt;/Tag&gt;&lt;Author&gt;Wang, Yiji; Mukaino, Masahiko; Ohtsuka, Kei; Otaka, Yohei; Tanikawa, Hiroki; Matsuda, Fumihiro; Tsuchiyama, Kazuhiro; Yamada, Junya; Saitoh, Eiichi&lt;/Author&gt;&lt;Year&gt;2020&lt;/Year&gt;&lt;Details&gt;&lt;_accession_num&gt;31855899&lt;/_accession_num&gt;&lt;_author_adr&gt;Department of Rehabilitation Medicine I, School of Medicine, Fujita Health  University, Toyoake, Aichi, Japan.; Department of Spinal Cord Injury Rehabilitation, China Rehabilitation Research  Center.; School of Rehabilitation Medicine, Capital Medical University, Beijing, China.; Department of Rehabilitation Medicine I, School of Medicine, Fujita Health  University, Toyoake, Aichi, Japan.; Faculty of Rehabilitation, School of Health Sciences, Fujita Health University.; Department of Rehabilitation Medicine I, School of Medicine, Fujita Health  University, Toyoake, Aichi, Japan.; Faculty of Rehabilitation, School of Health Sciences, Fujita Health University.; Faculty of Rehabilitation, School of Health Sciences, Fujita Health University.; Faculty of Rehabilitation, School of Health Sciences, Fujita Health University.; Department of Rehabilitation, Fujita Health University Hospital, Toyoake, Aichi,  Japan.; Department of Rehabilitation Medicine I, School of Medicine, Fujita Health  University, Toyoake, Aichi, Japan.&lt;/_author_adr&gt;&lt;_collection_scope&gt;SCIE;SSCI;EI&lt;/_collection_scope&gt;&lt;_created&gt;65949049&lt;/_created&gt;&lt;_date&gt;2020-03-01&lt;/_date&gt;&lt;_date_display&gt;2020 Mar&lt;/_date_display&gt;&lt;_db_updated&gt;PubMed&lt;/_db_updated&gt;&lt;_doi&gt;10.1097/MRR.0000000000000391&lt;/_doi&gt;&lt;_impact_factor&gt;   1.500&lt;/_impact_factor&gt;&lt;_isbn&gt;1473-5660 (Electronic); 0342-5282 (Print); 0342-5282 (Linking)&lt;/_isbn&gt;&lt;_issue&gt;1&lt;/_issue&gt;&lt;_journal&gt;Int J Rehabil Res&lt;/_journal&gt;&lt;_language&gt;eng&lt;/_language&gt;&lt;_modified&gt;65949049&lt;/_modified&gt;&lt;_pages&gt;69-75&lt;/_pages&gt;&lt;_social_category&gt;康复医学(4)&lt;/_social_category&gt;&lt;_subject_headings&gt;Case-Control Studies; Female; *Gait Analysis; Gait Disorders, Neurologic/*physiopathology; Humans; Male; Middle Aged; Paresis/*physiopathology; Stroke/*physiopathology; Walking Speed/*physiology&lt;/_subject_headings&gt;&lt;_tertiary_title&gt;International journal of rehabilitation research. Internationale Zeitschrift fur _x000d__x000a_      Rehabilitationsforschung. Revue internationale de recherches de readaptation&lt;/_tertiary_title&gt;&lt;_type_work&gt;Journal Article&lt;/_type_work&gt;&lt;_url&gt;http://www.ncbi.nlm.nih.gov/entrez/query.fcgi?cmd=Retrieve&amp;amp;db=pubmed&amp;amp;dopt=Abstract&amp;amp;list_uids=31855899&amp;amp;query_hl=1&lt;/_url&gt;&lt;_volume&gt;43&lt;/_volume&gt;&lt;/Details&gt;&lt;Extra&gt;&lt;DBUID&gt;{4639BE48-E8DA-433D-936E-D6A27A715D41}&lt;/DBUID&gt;&lt;/Extra&gt;&lt;/Item&gt;&lt;/References&gt;&lt;/Group&gt;&lt;Group&gt;&lt;References&gt;&lt;Item&gt;&lt;ID&gt;666&lt;/ID&gt;&lt;UID&gt;{E8FCDB86-28E8-408B-AD55-6D6E5CA93781}&lt;/UID&gt;&lt;Title&gt;Different Biomechanical Variables Explain Within-Subjects Versus Between-Subjects Variance in Step Length Asymmetry Post-Stroke&lt;/Title&gt;&lt;Template&gt;Journal Article&lt;/Template&gt;&lt;Star&gt;0&lt;/Star&gt;&lt;Tag&gt;0&lt;/Tag&gt;&lt;Author&gt;Sanchez, Natalia; Schweighofer, Nicolas; Finley, James M&lt;/Author&gt;&lt;Year&gt;2021&lt;/Year&gt;&lt;Details&gt;&lt;_accession_num&gt;34138713&lt;/_accession_num&gt;&lt;_collection_scope&gt;SCIE;EI&lt;/_collection_scope&gt;&lt;_created&gt;65949049&lt;/_created&gt;&lt;_date&gt;2021-01-20&lt;/_date&gt;&lt;_date_display&gt;2021&lt;/_date_display&gt;&lt;_db_updated&gt;PubMed&lt;/_db_updated&gt;&lt;_doi&gt;10.1109/TNSRE.2021.3090324&lt;/_doi&gt;&lt;_impact_factor&gt;   4.800&lt;/_impact_factor&gt;&lt;_isbn&gt;1558-0210 (Electronic); 1534-4320 (Print); 1534-4320 (Linking)&lt;/_isbn&gt;&lt;_journal&gt;IEEE Trans Neural Syst Rehabil Eng&lt;/_journal&gt;&lt;_language&gt;eng&lt;/_language&gt;&lt;_modified&gt;65949049&lt;/_modified&gt;&lt;_pages&gt;1188-1198&lt;/_pages&gt;&lt;_social_category&gt;康复医学(1) &amp;amp; 工程：生物医学(2)&lt;/_social_category&gt;&lt;_subject_headings&gt;Biomechanical Phenomena; Gait; Humans; Paresis/etiology; *Stroke/complications; *Stroke Rehabilitation; Walking&lt;/_subject_headings&gt;&lt;_tertiary_title&gt;IEEE transactions on neural systems and rehabilitation engineering : a _x000d__x000a_      publication of the IEEE Engineering in Medicine and Biology Society&lt;/_tertiary_title&gt;&lt;_type_work&gt;Journal Article; Research Support, N.I.H., Extramural; Research Support, Non-U.S. Gov&amp;apos;t&lt;/_type_work&gt;&lt;_url&gt;http://www.ncbi.nlm.nih.gov/entrez/query.fcgi?cmd=Retrieve&amp;amp;db=pubmed&amp;amp;dopt=Abstract&amp;amp;list_uids=34138713&amp;amp;query_hl=1&lt;/_url&gt;&lt;_volume&gt;29&lt;/_volume&gt;&lt;/Details&gt;&lt;Extra&gt;&lt;DBUID&gt;{4639BE48-E8DA-433D-936E-D6A27A715D41}&lt;/DBUID&gt;&lt;/Extra&gt;&lt;/Item&gt;&lt;/References&gt;&lt;/Group&gt;&lt;/Citation&gt;_x000a_"/>
    <w:docVar w:name="NE.Ref{D9DCD74A-A18E-469B-8BA1-7DB68368FA06}" w:val=" ADDIN NE.Ref.{D9DCD74A-A18E-469B-8BA1-7DB68368FA06}&lt;Citation&gt;&lt;Group&gt;&lt;References&gt;&lt;Item&gt;&lt;ID&gt;673&lt;/ID&gt;&lt;UID&gt;{B44E6EB3-673A-4F60-AA62-423CC2F9DEF9}&lt;/UID&gt;&lt;Title&gt;Effectiveness of Pelvic Proprioceptive Neuromuscular Facilitation Techniques on Balance and Gait Parameters in Chronic Stroke Patients: A Randomized Clinical Trial&lt;/Title&gt;&lt;Template&gt;Journal Article&lt;/Template&gt;&lt;Star&gt;0&lt;/Star&gt;&lt;Tag&gt;0&lt;/Tag&gt;&lt;Author&gt;Boob, Manali A; Kovela, Rakesh K&lt;/Author&gt;&lt;Year&gt;2022&lt;/Year&gt;&lt;Details&gt;&lt;_accession_num&gt;36426303&lt;/_accession_num&gt;&lt;_author_adr&gt;Physiotherapy, Ravi Nair Physiotherapy College, Datta Meghe Institute of Medical  Sciences, Wardha, IND.; Physiotherapy, Nitte Institute of Physiotherapy, Nitte (Deemed to be University),  Mangalore, IND.&lt;/_author_adr&gt;&lt;_collection_scope&gt;ESCI&lt;/_collection_scope&gt;&lt;_created&gt;65949056&lt;/_created&gt;&lt;_date&gt;2022-10-01&lt;/_date&gt;&lt;_date_display&gt;2022 Oct&lt;/_date_display&gt;&lt;_db_updated&gt;PubMed&lt;/_db_updated&gt;&lt;_doi&gt;10.7759/cureus.30630&lt;/_doi&gt;&lt;_impact_factor&gt;   1.000&lt;/_impact_factor&gt;&lt;_isbn&gt;2168-8184 (Print); 2168-8184 (Electronic); 2168-8184 (Linking)&lt;/_isbn&gt;&lt;_issue&gt;10&lt;/_issue&gt;&lt;_journal&gt;Cureus&lt;/_journal&gt;&lt;_keywords&gt;berg balance scale; gait velocity; palpation meter; pelvic inclination; proprioceptive neuromuscular facilitation&lt;/_keywords&gt;&lt;_language&gt;eng&lt;/_language&gt;&lt;_modified&gt;65949056&lt;/_modified&gt;&lt;_ori_publication&gt;Copyright (c) 2022, Boob et al.&lt;/_ori_publication&gt;&lt;_pages&gt;e30630&lt;/_pages&gt;&lt;_social_category&gt;医学：内科(4)&lt;/_social_category&gt;&lt;_tertiary_title&gt;Cureus&lt;/_tertiary_title&gt;&lt;_type_work&gt;Journal Article&lt;/_type_work&gt;&lt;_url&gt;http://www.ncbi.nlm.nih.gov/entrez/query.fcgi?cmd=Retrieve&amp;amp;db=pubmed&amp;amp;dopt=Abstract&amp;amp;list_uids=36426303&amp;amp;query_hl=1&lt;/_url&gt;&lt;_volume&gt;14&lt;/_volume&gt;&lt;/Details&gt;&lt;Extra&gt;&lt;DBUID&gt;{4639BE48-E8DA-433D-936E-D6A27A715D41}&lt;/DBUID&gt;&lt;/Extra&gt;&lt;/Item&gt;&lt;/References&gt;&lt;/Group&gt;&lt;/Citation&gt;_x000a_"/>
    <w:docVar w:name="NE.Ref{DE501651-5100-481D-801B-DCCA9EF989FD}" w:val=" ADDIN NE.Ref.{DE501651-5100-481D-801B-DCCA9EF989FD}&lt;Citation&gt;&lt;Group&gt;&lt;References&gt;&lt;Item&gt;&lt;ID&gt;668&lt;/ID&gt;&lt;UID&gt;{182CDE97-9760-4AF4-BB8F-7A868DD79882}&lt;/UID&gt;&lt;Title&gt;Restriction of pelvic lateral and rotational motions alters lower limb kinematics and muscle activation pattern during over-ground walking&lt;/Title&gt;&lt;Template&gt;Journal Article&lt;/Template&gt;&lt;Star&gt;0&lt;/Star&gt;&lt;Tag&gt;0&lt;/Tag&gt;&lt;Author&gt;Mun, Kyung-Ryoul; Guo, Zhao; Yu, Haoyong&lt;/Author&gt;&lt;Year&gt;2016&lt;/Year&gt;&lt;Details&gt;&lt;_accessed&gt;65957611&lt;/_accessed&gt;&lt;_accession_num&gt;26830107&lt;/_accession_num&gt;&lt;_author_adr&gt;Department of Biomedical Engineering, National University of Singapore, 9  Engineering Drive 1, Singapore, 117575, Republic of Singapore.; Department of Biomedical Engineering, National University of Singapore, 9  Engineering Drive 1, Singapore, 117575, Republic of Singapore.; Department of Biomedical Engineering, National University of Singapore, 9  Engineering Drive 1, Singapore, 117575, Republic of Singapore. bieyhy@nus.edu.sg.&lt;/_author_adr&gt;&lt;_collection_scope&gt;SCIE;EI&lt;/_collection_scope&gt;&lt;_created&gt;65949052&lt;/_created&gt;&lt;_date&gt;2016-11-01&lt;/_date&gt;&lt;_date_display&gt;2016 Nov&lt;/_date_display&gt;&lt;_db_updated&gt;CrossRef&lt;/_db_updated&gt;&lt;_doi&gt;10.1007/s11517-016-1450-8&lt;/_doi&gt;&lt;_impact_factor&gt;   2.600&lt;/_impact_factor&gt;&lt;_isbn&gt;0140-0118&lt;/_isbn&gt;&lt;_issue&gt;11&lt;/_issue&gt;&lt;_journal&gt;Medical &amp;amp; Biological Engineering &amp;amp; Computing&lt;/_journal&gt;&lt;_keywords&gt;Gait training; Over-ground walking; Pelvic lateral and rotational movements; Pelvic motion restriction; Robotic gait rehabilitation&lt;/_keywords&gt;&lt;_language&gt;eng&lt;/_language&gt;&lt;_modified&gt;65957611&lt;/_modified&gt;&lt;_pages&gt;1621-1629&lt;/_pages&gt;&lt;_social_category&gt;数学与计算生物学(3) &amp;amp; 计算机：跨学科应用(4) &amp;amp; 工程：生物医学(4) &amp;amp; 医学：信息(4)&lt;/_social_category&gt;&lt;_subject_headings&gt;Adult; Biomechanical Phenomena; Electromyography; Gait/physiology; Humans; Lower Extremity/*physiology; *Motion; Muscle, Skeletal/*physiology; Pelvis/*physiology; Range of Motion, Articular/physiology; *Rotation; Walking/*physiology&lt;/_subject_headings&gt;&lt;_tertiary_title&gt;Med Biol Eng Comput&lt;/_tertiary_title&gt;&lt;_type_work&gt;Clinical Trial; Journal Article&lt;/_type_work&gt;&lt;_url&gt;http://link.springer.com/10.1007/s11517-016-1450-8_x000d__x000a_http://link.springer.com/content/pdf/10.1007/s11517-016-1450-8.pdf&lt;/_url&gt;&lt;_volume&gt;54&lt;/_volume&gt;&lt;/Details&gt;&lt;Extra&gt;&lt;DBUID&gt;{4639BE48-E8DA-433D-936E-D6A27A715D41}&lt;/DBUID&gt;&lt;/Extra&gt;&lt;/Item&gt;&lt;/References&gt;&lt;/Group&gt;&lt;/Citation&gt;_x000a_"/>
    <w:docVar w:name="NE.Ref{E10971C0-E720-4B75-BBA7-A7D6166716AF}" w:val=" ADDIN NE.Ref.{E10971C0-E720-4B75-BBA7-A7D6166716AF}&lt;Citation&gt;&lt;Group&gt;&lt;References&gt;&lt;Item&gt;&lt;ID&gt;676&lt;/ID&gt;&lt;UID&gt;{D559BB0A-8E46-44C8-A719-61950AF385B5}&lt;/UID&gt;&lt;Title&gt;Short-Step Adjustment and Proximal Compensatory Strategies Adopted by Stroke Survivors With Knee Extensor Spasticity for Obstacle Crossing&lt;/Title&gt;&lt;Template&gt;Journal Article&lt;/Template&gt;&lt;Star&gt;0&lt;/Star&gt;&lt;Tag&gt;0&lt;/Tag&gt;&lt;Author&gt;Huang, Shang-Jun; Yu, Xiao-Ming; Wang, Kuan; Wang, Le-Jun; Wu, Xu-Bo; Wu, Xie; Niu, Wen-Xin&lt;/Author&gt;&lt;Year&gt;2020&lt;/Year&gt;&lt;Details&gt;&lt;_accession_num&gt;32850762&lt;/_accession_num&gt;&lt;_author_adr&gt;Key Laboratory of Spine and Spinal Cord Injury Repair and Regeneration of  Ministry of Education, Orthopaedic Department, Tongji Hospital, Tongji University  School of Medicine, Shanghai, China.; Department of Rehabilitation, Shanghai Seventh People&amp;apos;s Hospital, Shanghai  University of Traditional Chinese Medicine, Shanghai, China.; Yangzhi Rehabilitation Hospital, Tongji University School of Medicine, Shanghai,  China.; Sport and Health Research Center, Physical Education Department, Tongji  University, Shanghai, China.; School of Rehabilitation Medicine, Shanghai University of Traditional Chinese  Medicine, Shanghai, China.; Key Laboratory of Exercise and Health Sciences, Ministry of Education, Shanghai  University of Sport, Shanghai, China.; Key Laboratory of Spine and Spinal Cord Injury Repair and Regeneration of  Ministry of Education, Orthopaedic Department, Tongji Hospital, Tongji University  School of Medicine, Shanghai, China.&lt;/_author_adr&gt;&lt;_date_display&gt;2020&lt;/_date_display&gt;&lt;_date&gt;2020-01-20&lt;/_date&gt;&lt;_doi&gt;10.3389/fbioe.2020.00939&lt;/_doi&gt;&lt;_isbn&gt;2296-4185 (Print); 2296-4185 (Electronic); 2296-4185 (Linking)&lt;/_isbn&gt;&lt;_journal&gt;Front Bioeng Biotechnol&lt;/_journal&gt;&lt;_keywords&gt;biomechanics; compensatory strategy; gait; spasticity; stroke&lt;/_keywords&gt;&lt;_language&gt;eng&lt;/_language&gt;&lt;_ori_publication&gt;Copyright (c) 2020 Huang, Yu, Wang, Wang, Wu, Wu and Niu.&lt;/_ori_publication&gt;&lt;_pages&gt;939&lt;/_pages&gt;&lt;_tertiary_title&gt;Frontiers in bioengineering and biotechnology&lt;/_tertiary_title&gt;&lt;_type_work&gt;Journal Article&lt;/_type_work&gt;&lt;_url&gt;http://www.ncbi.nlm.nih.gov/entrez/query.fcgi?cmd=Retrieve&amp;amp;db=pubmed&amp;amp;dopt=Abstract&amp;amp;list_uids=32850762&amp;amp;query_hl=1&lt;/_url&gt;&lt;_volume&gt;8&lt;/_volume&gt;&lt;_created&gt;65949775&lt;/_created&gt;&lt;_modified&gt;65949775&lt;/_modified&gt;&lt;_db_updated&gt;PubMed&lt;/_db_updated&gt;&lt;_impact_factor&gt;   4.300&lt;/_impact_factor&gt;&lt;_social_category&gt;生物工程与应用微生物(3) &amp;amp; 工程：生物医学(4)&lt;/_social_category&gt;&lt;_collection_scope&gt;SCIE;EI&lt;/_collection_scope&gt;&lt;/Details&gt;&lt;Extra&gt;&lt;DBUID&gt;{4639BE48-E8DA-433D-936E-D6A27A715D41}&lt;/DBUID&gt;&lt;/Extra&gt;&lt;/Item&gt;&lt;/References&gt;&lt;/Group&gt;&lt;/Citation&gt;_x000a_"/>
    <w:docVar w:name="NE.Ref{E528DACC-5776-4206-954B-CA80BD3059AB}" w:val=" ADDIN NE.Ref.{E528DACC-5776-4206-954B-CA80BD3059AB}&lt;Citation&gt;&lt;Group&gt;&lt;References&gt;&lt;Item&gt;&lt;ID&gt;678&lt;/ID&gt;&lt;UID&gt;{DEA9F70E-2FD6-42D2-B286-7D314D111671}&lt;/UID&gt;&lt;Title&gt;Kinematic gait asymmetry assessment using joint angle data in patients with chronic stroke-A normalized cross-correlation approach&lt;/Title&gt;&lt;Template&gt;Journal Article&lt;/Template&gt;&lt;Star&gt;0&lt;/Star&gt;&lt;Tag&gt;0&lt;/Tag&gt;&lt;Author&gt;Ogihara, Hirofumi; Tsushima, Eiki; Kamo, Tomohiko; Sato, Takaaki; Matsushima, Akira; Niioka, Yamato; Asahi, Ryoma; Azami, Masato&lt;/Author&gt;&lt;Year&gt;2020&lt;/Year&gt;&lt;Details&gt;&lt;_accession_num&gt;32521470&lt;/_accession_num&gt;&lt;_author_adr&gt;Department of Physical Therapy, School of Health Sciences, Japan University of  Health Sciences, 2-555, Hirasuka, Satte-city, Saitama, 340-0145 Japan; Graduate  School of Health Sciences, Hirosaki University, 66-1, Honcho, Hirosaki-city,  Aomori, 036-8564 Japan. Electronic address: h-ogihara@jhsu.ac.jp.; Graduate School of Health Sciences, Hirosaki University, 66-1, Honcho,  Hirosaki-city, Aomori, 036-8564 Japan.; Department of Physical Therapy, School of Health Sciences, Japan University of  Health Sciences, 2-555, Hirasuka, Satte-city, Saitama, 340-0145 Japan.; Graduate School of Health Sciences, Hirosaki University, 66-1, Honcho,  Hirosaki-city, Aomori, 036-8564 Japan; Department of Physical Therapy, Kakeyu  Hospital, 1308, Kakeyuonsen, Ueda-city, Nagano, 386-0396 Japan.; Department of Neurology, Kakeyu Hospital, 1308, Kakeyuonsen, Ueda-city, Nagano,  386-0396 Japan.; Department of Physical Therapy, School of Health Sciences, Aomori University of  Health and Welfare, Mase 58-1, Hamadate, Aomori-city, Aomori, 030-8505 Japan.; Department of Physical Therapy, School of Health Sciences, Japan University of  Health Sciences, 2-555, Hirasuka, Satte-city, Saitama, 340-0145 Japan.; Department of Physical Therapy, School of Health Sciences, Japan University of  Health Sciences, 2-555, Hirasuka, Satte-city, Saitama, 340-0145 Japan.&lt;/_author_adr&gt;&lt;_collection_scope&gt;SCIE&lt;/_collection_scope&gt;&lt;_created&gt;65957592&lt;/_created&gt;&lt;_date&gt;2020-07-01&lt;/_date&gt;&lt;_date_display&gt;2020 Jul&lt;/_date_display&gt;&lt;_db_updated&gt;PubMed&lt;/_db_updated&gt;&lt;_doi&gt;10.1016/j.gaitpost.2020.05.042&lt;/_doi&gt;&lt;_impact_factor&gt;   2.200&lt;/_impact_factor&gt;&lt;_isbn&gt;1879-2219 (Electronic); 0966-6362 (Linking)&lt;/_isbn&gt;&lt;_journal&gt;Gait Posture&lt;/_journal&gt;&lt;_keywords&gt;Chronic stroke; Gait analysis; Gait asymmetry; Gait disorders&lt;/_keywords&gt;&lt;_language&gt;eng&lt;/_language&gt;&lt;_modified&gt;65957592&lt;/_modified&gt;&lt;_ori_publication&gt;Copyright (c) 2020 Elsevier B.V. All rights reserved.&lt;/_ori_publication&gt;&lt;_pages&gt;168-173&lt;/_pages&gt;&lt;_social_category&gt;神经科学(3) &amp;amp; 骨科(3) &amp;amp; 运动科学(3)&lt;/_social_category&gt;&lt;_subject_headings&gt;Activities of Daily Living; Aged; Ankle Joint/physiopathology; Biomechanical Phenomena; Female; *Gait Analysis; Gait Disorders, Neurologic/*physiopathology; Hip Joint/physiopathology; Humans; Knee Joint/physiopathology; Lower Extremity/physiopathology; Male; Middle Aged; Stroke/*physiopathology; Stroke Rehabilitation&lt;/_subject_headings&gt;&lt;_tertiary_title&gt;Gait &amp;amp; posture&lt;/_tertiary_title&gt;&lt;_type_work&gt;Journal Article; Research Support, Non-U.S. Gov&amp;apos;t&lt;/_type_work&gt;&lt;_url&gt;http://www.ncbi.nlm.nih.gov/entrez/query.fcgi?cmd=Retrieve&amp;amp;db=pubmed&amp;amp;dopt=Abstract&amp;amp;list_uids=32521470&amp;amp;query_hl=1&lt;/_url&gt;&lt;_volume&gt;80&lt;/_volume&gt;&lt;/Details&gt;&lt;Extra&gt;&lt;DBUID&gt;{4639BE48-E8DA-433D-936E-D6A27A715D41}&lt;/DBUID&gt;&lt;/Extra&gt;&lt;/Item&gt;&lt;/References&gt;&lt;/Group&gt;&lt;Group&gt;&lt;References&gt;&lt;Item&gt;&lt;ID&gt;640&lt;/ID&gt;&lt;UID&gt;{E33992FA-C01B-4083-BC32-E533CEA0B42E}&lt;/UID&gt;&lt;Title&gt;Quantifying Gait Asymmetry in Stroke Patients: A Statistical Parametric Mapping (SPM) Approach&lt;/Title&gt;&lt;Template&gt;Journal Article&lt;/Template&gt;&lt;Star&gt;0&lt;/Star&gt;&lt;Tag&gt;0&lt;/Tag&gt;&lt;Author&gt;Park, Jinwoo; Han, Kihoon&lt;/Author&gt;&lt;Year&gt;2025&lt;/Year&gt;&lt;Details&gt;&lt;_accession_num&gt;39820358&lt;/_accession_num&gt;&lt;_author_adr&gt;Department of Physical Education, Pusan National University, Busan, South Korea.; Department of Physical Education, Pusan National University, Busan, South Korea.&lt;/_author_adr&gt;&lt;_collection_scope&gt;SCIE&lt;/_collection_scope&gt;&lt;_created&gt;65948996&lt;/_created&gt;&lt;_date&gt;2025-01-17&lt;/_date&gt;&lt;_date_display&gt;2025 Jan 17&lt;/_date_display&gt;&lt;_db_updated&gt;PubMed&lt;/_db_updated&gt;&lt;_doi&gt;10.12659/MSM.946754&lt;/_doi&gt;&lt;_impact_factor&gt;   2.200&lt;/_impact_factor&gt;&lt;_isbn&gt;1643-3750 (Electronic); 1234-1010 (Print); 1234-1010 (Linking)&lt;/_isbn&gt;&lt;_journal&gt;Med Sci Monit&lt;/_journal&gt;&lt;_language&gt;eng&lt;/_language&gt;&lt;_modified&gt;65948996&lt;/_modified&gt;&lt;_pages&gt;e946754&lt;/_pages&gt;&lt;_social_category&gt;医学：研究与实验(4)&lt;/_social_category&gt;&lt;_subject_headings&gt;Humans; Male; Female; *Stroke/physiopathology; *Gait/physiology; Biomechanical Phenomena/physiology; Middle Aged; Knee Joint/physiopathology; Aged; Hip Joint/physiopathology; Stroke Rehabilitation/methods; *Gait Analysis/methods; Range of Motion, Articular/physiology; Adult; Ankle Joint/physiopathology&lt;/_subject_headings&gt;&lt;_tertiary_title&gt;Medical science monitor : international medical journal of experimental and _x000d__x000a_      clinical research&lt;/_tertiary_title&gt;&lt;_type_work&gt;Journal Article&lt;/_type_work&gt;&lt;_url&gt;http://www.ncbi.nlm.nih.gov/entrez/query.fcgi?cmd=Retrieve&amp;amp;db=pubmed&amp;amp;dopt=Abstract&amp;amp;list_uids=39820358&amp;amp;query_hl=1&lt;/_url&gt;&lt;_volume&gt;31&lt;/_volume&gt;&lt;/Details&gt;&lt;Extra&gt;&lt;DBUID&gt;{4639BE48-E8DA-433D-936E-D6A27A715D41}&lt;/DBUID&gt;&lt;/Extra&gt;&lt;/Item&gt;&lt;/References&gt;&lt;/Group&gt;&lt;/Citation&gt;_x000a_"/>
    <w:docVar w:name="NE.Ref{F1533DD1-5E31-4FE3-BEA9-FD29133AAEE6}" w:val=" ADDIN NE.Ref.{F1533DD1-5E31-4FE3-BEA9-FD29133AAEE6}&lt;Citation&gt;&lt;Group&gt;&lt;References&gt;&lt;Item&gt;&lt;ID&gt;667&lt;/ID&gt;&lt;UID&gt;{8CAB89A2-F70D-414D-96BD-71ABBB5F4E92}&lt;/UID&gt;&lt;Title&gt;The major determinants in normal and pathological gait&lt;/Title&gt;&lt;Template&gt;Journal Article&lt;/Template&gt;&lt;Star&gt;0&lt;/Star&gt;&lt;Tag&gt;0&lt;/Tag&gt;&lt;Author&gt;SAUNDERS, J B; INMAN, V T; EBERHART, H D&lt;/Author&gt;&lt;Year&gt;1953&lt;/Year&gt;&lt;Details&gt;&lt;_accessed&gt;65957605&lt;/_accessed&gt;&lt;_accession_num&gt;13069544&lt;/_accession_num&gt;&lt;_collection_scope&gt;SCIE&lt;/_collection_scope&gt;&lt;_created&gt;65949051&lt;/_created&gt;&lt;_date&gt;28136160&lt;/_date&gt;&lt;_date_display&gt;1953 Jul&lt;/_date_display&gt;&lt;_db_updated&gt;PubMed&lt;/_db_updated&gt;&lt;_impact_factor&gt;   4.400&lt;/_impact_factor&gt;&lt;_isbn&gt;0021-9355 (Print); 0021-9355 (Linking)&lt;/_isbn&gt;&lt;_issue&gt;3&lt;/_issue&gt;&lt;_journal&gt;J Bone Joint Surg Am&lt;/_journal&gt;&lt;_keywords&gt;*GAIT&lt;/_keywords&gt;&lt;_language&gt;eng&lt;/_language&gt;&lt;_modified&gt;65957605&lt;/_modified&gt;&lt;_pages&gt;543-58&lt;/_pages&gt;&lt;_social_category&gt;骨科(1) &amp;amp; 外科(1)&lt;/_social_category&gt;&lt;_subject_headings&gt;*Gait; Humans&lt;/_subject_headings&gt;&lt;_tertiary_title&gt;The Journal of bone and joint surgery. American volume&lt;/_tertiary_title&gt;&lt;_type_work&gt;Journal Article&lt;/_type_work&gt;&lt;_url&gt;http://www.ncbi.nlm.nih.gov/entrez/query.fcgi?cmd=Retrieve&amp;amp;db=pubmed&amp;amp;dopt=Abstract&amp;amp;list_uids=13069544&amp;amp;query_hl=1&lt;/_url&gt;&lt;_volume&gt;35-A&lt;/_volume&gt;&lt;/Details&gt;&lt;Extra&gt;&lt;DBUID&gt;{4639BE48-E8DA-433D-936E-D6A27A715D41}&lt;/DBUID&gt;&lt;/Extra&gt;&lt;/Item&gt;&lt;/References&gt;&lt;/Group&gt;&lt;/Citation&gt;_x000a_"/>
    <w:docVar w:name="NE.Ref{F45302CB-F0D8-4E01-8883-5FF69EF467D5}" w:val=" ADDIN NE.Ref.{F45302CB-F0D8-4E01-8883-5FF69EF467D5}&lt;Citation&gt;&lt;Group&gt;&lt;References&gt;&lt;Item&gt;&lt;ID&gt;668&lt;/ID&gt;&lt;UID&gt;{182CDE97-9760-4AF4-BB8F-7A868DD79882}&lt;/UID&gt;&lt;Title&gt;Restriction of pelvic lateral and rotational motions alters lower limb kinematics and muscle activation pattern during over-ground walking&lt;/Title&gt;&lt;Template&gt;Journal Article&lt;/Template&gt;&lt;Star&gt;0&lt;/Star&gt;&lt;Tag&gt;0&lt;/Tag&gt;&lt;Author&gt;Mun, Kyung-Ryoul; Guo, Zhao; Yu, Haoyong&lt;/Author&gt;&lt;Year&gt;2016&lt;/Year&gt;&lt;Details&gt;&lt;_accession_num&gt;26830107&lt;/_accession_num&gt;&lt;_author_adr&gt;Department of Biomedical Engineering, National University of Singapore, 9  Engineering Drive 1, Singapore, 117575, Republic of Singapore.; Department of Biomedical Engineering, National University of Singapore, 9  Engineering Drive 1, Singapore, 117575, Republic of Singapore.; Department of Biomedical Engineering, National University of Singapore, 9  Engineering Drive 1, Singapore, 117575, Republic of Singapore. bieyhy@nus.edu.sg.&lt;/_author_adr&gt;&lt;_date_display&gt;2016 Nov&lt;/_date_display&gt;&lt;_date&gt;2016-11-01&lt;/_date&gt;&lt;_doi&gt;10.1007/s11517-016-1450-8&lt;/_doi&gt;&lt;_isbn&gt;1741-0444 (Electronic); 0140-0118 (Linking)&lt;/_isbn&gt;&lt;_issue&gt;11&lt;/_issue&gt;&lt;_journal&gt;Med Biol Eng Comput&lt;/_journal&gt;&lt;_keywords&gt;Gait training; Over-ground walking; Pelvic lateral and rotational movements; Pelvic motion restriction; Robotic gait rehabilitation&lt;/_keywords&gt;&lt;_language&gt;eng&lt;/_language&gt;&lt;_pages&gt;1621-1629&lt;/_pages&gt;&lt;_subject_headings&gt;Adult; Biomechanical Phenomena; Electromyography; Gait/physiology; Humans; Lower Extremity/*physiology; *Motion; Muscle, Skeletal/*physiology; Pelvis/*physiology; Range of Motion, Articular/physiology; *Rotation; Walking/*physiology&lt;/_subject_headings&gt;&lt;_tertiary_title&gt;Medical &amp;amp; biological engineering &amp;amp; computing&lt;/_tertiary_title&gt;&lt;_type_work&gt;Clinical Trial; Journal Article&lt;/_type_work&gt;&lt;_url&gt;http://www.ncbi.nlm.nih.gov/entrez/query.fcgi?cmd=Retrieve&amp;amp;db=pubmed&amp;amp;dopt=Abstract&amp;amp;list_uids=26830107&amp;amp;query_hl=1&lt;/_url&gt;&lt;_volume&gt;54&lt;/_volume&gt;&lt;_created&gt;65949052&lt;/_created&gt;&lt;_modified&gt;65949052&lt;/_modified&gt;&lt;_db_updated&gt;PubMed&lt;/_db_updated&gt;&lt;_impact_factor&gt;   2.600&lt;/_impact_factor&gt;&lt;_social_category&gt;数学与计算生物学(3) &amp;amp; 计算机：跨学科应用(4) &amp;amp; 工程：生物医学(4) &amp;amp; 医学：信息(4)&lt;/_social_category&gt;&lt;_collection_scope&gt;SCIE;EI&lt;/_collection_scope&gt;&lt;/Details&gt;&lt;Extra&gt;&lt;DBUID&gt;{4639BE48-E8DA-433D-936E-D6A27A715D41}&lt;/DBUID&gt;&lt;/Extra&gt;&lt;/Item&gt;&lt;/References&gt;&lt;/Group&gt;&lt;/Citation&gt;_x000a_"/>
    <w:docVar w:name="NE.Ref{F7C0E7C7-F488-48DB-A78F-6ADB69B5DFBE}" w:val=" ADDIN NE.Ref.{F7C0E7C7-F488-48DB-A78F-6ADB69B5DFBE}&lt;Citation&gt;&lt;Group&gt;&lt;References&gt;&lt;Item&gt;&lt;ID&gt;636&lt;/ID&gt;&lt;UID&gt;{A7F775D7-05F9-4EC1-8834-AE5C0E3C865A}&lt;/UID&gt;&lt;Title&gt;Use of the International Classification of Functioning, Disability and Health (ICF) to expand and standardize the assessment of quality-of-life following a stroke: proposal for the use of codes and qualifiers&lt;/Title&gt;&lt;Template&gt;Journal Article&lt;/Template&gt;&lt;Star&gt;0&lt;/Star&gt;&lt;Tag&gt;0&lt;/Tag&gt;&lt;Author&gt;Dos Santos, Heyriane Martins; de Oliveira, Leia Cordeiro; Bonifacio, Sandra Regina; Brandao, Thayane Correa Pereira; Silva, Wallace Pereira; Pereira, Gabriela Santos; Silva, Soraia Micaela&lt;/Author&gt;&lt;Year&gt;2022&lt;/Year&gt;&lt;Details&gt;&lt;_accession_num&gt;34752176&lt;/_accession_num&gt;&lt;_author_adr&gt;Postgraduate Program in Rehabilitation Sciences, Nove de Julho University  (UNINOVE), Sao Paulo, SP, Brazil.; Postgraduate Program in Rehabilitation Sciences, Nove de Julho University  (UNINOVE), Sao Paulo, SP, Brazil.; Postgraduate Program in Rehabilitation Sciences, Nove de Julho University  (UNINOVE), Sao Paulo, SP, Brazil.; Postgraduate Program in Rehabilitation Sciences, Nove de Julho University  (UNINOVE), Sao Paulo, SP, Brazil.; Postgraduate Program in Rehabilitation Sciences, Nove de Julho University  (UNINOVE), Sao Paulo, SP, Brazil.; Postgraduate Program in Rehabilitation Sciences, Nove de Julho University  (UNINOVE), Sao Paulo, SP, Brazil.; Postgraduate Program in Rehabilitation Sciences, Nove de Julho University  (UNINOVE), Sao Paulo, SP, Brazil.&lt;/_author_adr&gt;&lt;_collection_scope&gt;SCIE;SSCI&lt;/_collection_scope&gt;&lt;_created&gt;65948962&lt;/_created&gt;&lt;_date&gt;2022-12-01&lt;/_date&gt;&lt;_date_display&gt;2022 Dec&lt;/_date_display&gt;&lt;_db_updated&gt;PubMed&lt;/_db_updated&gt;&lt;_doi&gt;10.1080/09638288.2021.1995055&lt;/_doi&gt;&lt;_impact_factor&gt;   2.100&lt;/_impact_factor&gt;&lt;_isbn&gt;1464-5165 (Electronic); 0963-8288 (Linking)&lt;/_isbn&gt;&lt;_issue&gt;24&lt;/_issue&gt;&lt;_journal&gt;Disabil Rehabil&lt;/_journal&gt;&lt;_keywords&gt;Disability and Health; ICF codes; ICF qualifiers; International Classification of Functioning; Stroke; quality of life&lt;/_keywords&gt;&lt;_language&gt;eng&lt;/_language&gt;&lt;_modified&gt;65948962&lt;/_modified&gt;&lt;_pages&gt;7449-7454&lt;/_pages&gt;&lt;_social_category&gt;康复医学(3)&lt;/_social_category&gt;&lt;_subject_headings&gt;Humans; *Quality of Life; International Classification of Functioning, Disability and Health; Disability Evaluation; Cross-Sectional Studies; *Stroke/complications; Activities of Daily Living&lt;/_subject_headings&gt;&lt;_tertiary_title&gt;Disability and rehabilitation&lt;/_tertiary_title&gt;&lt;_type_work&gt;Journal Article; Observational Study; Research Support, Non-U.S. Gov&amp;apos;t&lt;/_type_work&gt;&lt;_url&gt;http://www.ncbi.nlm.nih.gov/entrez/query.fcgi?cmd=Retrieve&amp;amp;db=pubmed&amp;amp;dopt=Abstract&amp;amp;list_uids=34752176&amp;amp;query_hl=1&lt;/_url&gt;&lt;_volume&gt;44&lt;/_volume&gt;&lt;/Details&gt;&lt;Extra&gt;&lt;DBUID&gt;{4639BE48-E8DA-433D-936E-D6A27A715D41}&lt;/DBUID&gt;&lt;/Extra&gt;&lt;/Item&gt;&lt;/References&gt;&lt;/Group&gt;&lt;Group&gt;&lt;References&gt;&lt;Item&gt;&lt;ID&gt;637&lt;/ID&gt;&lt;UID&gt;{FE8BE781-E2DB-47F1-B8F2-E0C32F25BD02}&lt;/UID&gt;&lt;Title&gt;Biopsychosocial factors associated with the state of disability after hemiparesis in the chronic phase of stroke: exploratory analysis based on the International Classification of Functioning, Disability and Health&lt;/Title&gt;&lt;Template&gt;Journal Article&lt;/Template&gt;&lt;Star&gt;0&lt;/Star&gt;&lt;Tag&gt;0&lt;/Tag&gt;&lt;Author&gt;Martins Dos Santos, Heyriane; Pereira, Gabriela Santos; de Oliveira, Leia Cordeiro; Da Silva, Paula Karina; Goncalves Lima, Michael; Faria, Christina Danielli C De; Silva, Soraia Micaela&lt;/Author&gt;&lt;Year&gt;2024&lt;/Year&gt;&lt;Details&gt;&lt;_accession_num&gt;37029629&lt;/_accession_num&gt;&lt;_author_adr&gt;Postgraduate Program in Rehabilitation Sciences, Universidade Nove de Julho  (UNINOVE), Sao Paulo, Brazil.; Postgraduate Program in Rehabilitation Sciences, Universidade Nove de Julho  (UNINOVE), Sao Paulo, Brazil.; Postgraduate Program in Rehabilitation Sciences, Universidade Nove de Julho  (UNINOVE), Sao Paulo, Brazil.; Postgraduate Program in Rehabilitation Sciences, Universidade Nove de Julho  (UNINOVE), Sao Paulo, Brazil.; Postgraduate Program in Rehabilitation Sciences, Universidade Nove de Julho  (UNINOVE), Sao Paulo, Brazil.; Postgraduate Program in Rehabilitation Sciences, Universidade Federal de Minas  Gerais (UFMG), Belo Horizonte, Brazil.; Postgraduate Program in Rehabilitation Sciences, Universidade Nove de Julho  (UNINOVE), Sao Paulo, Brazil.&lt;/_author_adr&gt;&lt;_collection_scope&gt;SCIE;SSCI&lt;/_collection_scope&gt;&lt;_created&gt;65948992&lt;/_created&gt;&lt;_date&gt;2024-04-01&lt;/_date&gt;&lt;_date_display&gt;2024 Apr&lt;/_date_display&gt;&lt;_db_updated&gt;PubMed&lt;/_db_updated&gt;&lt;_doi&gt;10.1080/09638288.2023.2196444&lt;/_doi&gt;&lt;_impact_factor&gt;   2.100&lt;/_impact_factor&gt;&lt;_isbn&gt;1464-5165 (Electronic); 0963-8288 (Linking)&lt;/_isbn&gt;&lt;_issue&gt;7&lt;/_issue&gt;&lt;_journal&gt;Disabil Rehabil&lt;/_journal&gt;&lt;_keywords&gt;Disability and Health; International Classification of Functioning; biopsychosocial model; multiple linear regression; neurological rehabilitation; stroke&lt;/_keywords&gt;&lt;_language&gt;eng&lt;/_language&gt;&lt;_modified&gt;65948992&lt;/_modified&gt;&lt;_pages&gt;1366-1373&lt;/_pages&gt;&lt;_social_category&gt;康复医学(3)&lt;/_social_category&gt;&lt;_subject_headings&gt;Adult; Humans; *Stroke Rehabilitation/psychology; International Classification of Functioning, Disability and Health; Cross-Sectional Studies; *Stroke/complications/psychology; Paresis/etiology; Disability Evaluation; Activities of Daily Living&lt;/_subject_headings&gt;&lt;_tertiary_title&gt;Disability and rehabilitation&lt;/_tertiary_title&gt;&lt;_type_work&gt;Journal Article&lt;/_type_work&gt;&lt;_url&gt;http://www.ncbi.nlm.nih.gov/entrez/query.fcgi?cmd=Retrieve&amp;amp;db=pubmed&amp;amp;dopt=Abstract&amp;amp;list_uids=37029629&amp;amp;query_hl=1&lt;/_url&gt;&lt;_volume&gt;46&lt;/_volume&gt;&lt;/Details&gt;&lt;Extra&gt;&lt;DBUID&gt;{4639BE48-E8DA-433D-936E-D6A27A715D41}&lt;/DBUID&gt;&lt;/Extra&gt;&lt;/Item&gt;&lt;/References&gt;&lt;/Group&gt;&lt;/Citation&gt;_x000a_"/>
    <w:docVar w:name="NE.Ref{F83BBF6B-DB7E-453C-A40B-C990FF0C7B6F}" w:val=" ADDIN NE.Ref.{F83BBF6B-DB7E-453C-A40B-C990FF0C7B6F}&lt;Citation&gt;&lt;Group&gt;&lt;References&gt;&lt;Item&gt;&lt;ID&gt;661&lt;/ID&gt;&lt;UID&gt;{BD6314CC-AF1B-4BFE-91AE-0399554299B7}&lt;/UID&gt;&lt;Title&gt;The loss of the &amp;apos;pelvic step&amp;apos; in human evolution&lt;/Title&gt;&lt;Template&gt;Journal Article&lt;/Template&gt;&lt;Star&gt;0&lt;/Star&gt;&lt;Tag&gt;0&lt;/Tag&gt;&lt;Author&gt;Thompson, Nathan E; Rubinstein, Danielle; Parrella-O&amp;apos;Donnell, William; Brett, Matthew A; Demes, Brigitte; Larson, Susan G; O&amp;apos;Neill, Matthew C&lt;/Author&gt;&lt;Year&gt;2021&lt;/Year&gt;&lt;Details&gt;&lt;_accession_num&gt;34412111&lt;/_accession_num&gt;&lt;_author_adr&gt;Department of Anatomy, NYIT College of Osteopathic Medicine, Old Westbury, NY  11568,USA.; Lancaster General Hospital, Lancaster, PA 17602,USA.; NYIT College of Osteopathic Medicine, Old Westbury, NY 11568,USA.; NYIT College of Osteopathic Medicine, Old Westbury, NY 11568,USA.; Department of Anatomical Sciences, Stony Brook University, Stony Brook, NY  11794,USA.; Department of Anatomical Sciences, Stony Brook University, Stony Brook, NY  11794,USA.; Department of Anatomy, Midwestern University, Glendale, AZ 85308,USA.&lt;/_author_adr&gt;&lt;_collection_scope&gt;SCIE&lt;/_collection_scope&gt;&lt;_created&gt;65949045&lt;/_created&gt;&lt;_date&gt;2021-08-15&lt;/_date&gt;&lt;_date_display&gt;2021 Aug 15&lt;/_date_display&gt;&lt;_db_updated&gt;PubMed&lt;/_db_updated&gt;&lt;_doi&gt;10.1242/jeb.240440&lt;/_doi&gt;&lt;_impact_factor&gt;   2.800&lt;/_impact_factor&gt;&lt;_isbn&gt;1477-9145 (Electronic); 0022-0949 (Linking)&lt;/_isbn&gt;&lt;_issue&gt;16&lt;/_issue&gt;&lt;_journal&gt;J Exp Biol&lt;/_journal&gt;&lt;_keywords&gt;Bipedal; Chimpanzee; Hominin; Locomotion; Stride length&lt;/_keywords&gt;&lt;_language&gt;eng&lt;/_language&gt;&lt;_modified&gt;65949045&lt;/_modified&gt;&lt;_ori_publication&gt;(c) 2021. Published by The Company of Biologists Ltd.&lt;/_ori_publication&gt;&lt;_social_category&gt;生物学(2)&lt;/_social_category&gt;&lt;_subject_headings&gt;Animals; Biological Evolution; Biomechanical Phenomena; *Gait; Humans; Pan troglodytes; Pelvis; *Walking&lt;/_subject_headings&gt;&lt;_tertiary_title&gt;The Journal of experimental biology&lt;/_tertiary_title&gt;&lt;_type_work&gt;Journal Article; Research Support, U.S. Gov&amp;apos;t, Non-P.H.S.&lt;/_type_work&gt;&lt;_url&gt;http://www.ncbi.nlm.nih.gov/entrez/query.fcgi?cmd=Retrieve&amp;amp;db=pubmed&amp;amp;dopt=Abstract&amp;amp;list_uids=34412111&amp;amp;query_hl=1&lt;/_url&gt;&lt;_volume&gt;224&lt;/_volume&gt;&lt;/Details&gt;&lt;Extra&gt;&lt;DBUID&gt;{4639BE48-E8DA-433D-936E-D6A27A715D41}&lt;/DBUID&gt;&lt;/Extra&gt;&lt;/Item&gt;&lt;/References&gt;&lt;/Group&gt;&lt;/Citation&gt;_x000a_"/>
    <w:docVar w:name="NE.Ref{FF7F6DB7-D37E-42B0-B792-6E5DA6D2BBEE}" w:val=" ADDIN NE.Ref.{FF7F6DB7-D37E-42B0-B792-6E5DA6D2BBEE}&lt;Citation&gt;&lt;Group&gt;&lt;References&gt;&lt;Item&gt;&lt;ID&gt;654&lt;/ID&gt;&lt;UID&gt;{6916A8C0-87DC-4D7A-B9DA-D6DDF960861C}&lt;/UID&gt;&lt;Title&gt;Relationships between mediolateral step modulation and clinical balance measures in people with chronic stroke&lt;/Title&gt;&lt;Template&gt;Journal Article&lt;/Template&gt;&lt;Star&gt;0&lt;/Star&gt;&lt;Tag&gt;0&lt;/Tag&gt;&lt;Author&gt;Howard, Keith E; Reimold, Nicholas K; Knight, Heather L; Embry, Aaron E; Knapp, Holly A; Agne, Alexa A; Jacobs, Camden J; Dean, Jesse C&lt;/Author&gt;&lt;Year&gt;2024&lt;/Year&gt;&lt;Details&gt;&lt;_accession_num&gt;38237508&lt;/_accession_num&gt;&lt;_author_adr&gt;College of Health Professions; Medical University of South Carolina, USA.; College of Health Professions; Medical University of South Carolina, USA.; College of Health Professions; Medical University of South Carolina, USA.; College of Health Professions; Medical University of South Carolina, USA; Ralph  H. Johnson Veterans Affairs Health Care System, Charleston, SC, USA.; College of Health Professions; Medical University of South Carolina, USA.; College of Health Professions; Medical University of South Carolina, USA.; College of Health Professions; Medical University of South Carolina, USA.; College of Health Professions; Medical University of South Carolina, USA; Ralph  H. Johnson Veterans Affairs Health Care System, Charleston, SC, USA. Electronic  address: deaje@musc.edu.&lt;/_author_adr&gt;&lt;_collection_scope&gt;SCIE&lt;/_collection_scope&gt;&lt;_created&gt;65949035&lt;/_created&gt;&lt;_date&gt;2024-03-01&lt;/_date&gt;&lt;_date_display&gt;2024 Mar&lt;/_date_display&gt;&lt;_db_updated&gt;PubMed&lt;/_db_updated&gt;&lt;_doi&gt;10.1016/j.gaitpost.2024.01.014&lt;/_doi&gt;&lt;_impact_factor&gt;   2.200&lt;/_impact_factor&gt;&lt;_isbn&gt;1879-2219 (Electronic); 0966-6362 (Print); 0966-6362 (Linking)&lt;/_isbn&gt;&lt;_journal&gt;Gait Posture&lt;/_journal&gt;&lt;_keywords&gt;Balance; Foot placement; Gait; Stroke&lt;/_keywords&gt;&lt;_language&gt;eng&lt;/_language&gt;&lt;_modified&gt;65949035&lt;/_modified&gt;&lt;_ori_publication&gt;Published by Elsevier B.V.&lt;/_ori_publication&gt;&lt;_pages&gt;9-14&lt;/_pages&gt;&lt;_social_category&gt;神经科学(3) &amp;amp; 骨科(3) &amp;amp; 运动科学(3)&lt;/_social_category&gt;&lt;_subject_headings&gt;Humans; *Stroke Rehabilitation; Cross-Sectional Studies; Biomechanical Phenomena; Fear; *Stroke/complications; Gait; Walking; Postural Balance&lt;/_subject_headings&gt;&lt;_tertiary_title&gt;Gait &amp;amp; posture&lt;/_tertiary_title&gt;&lt;_type_work&gt;Journal Article; Research Support, N.I.H., Extramural; Research Support, U.S. Gov&amp;apos;t, Non-P.H.S.&lt;/_type_work&gt;&lt;_url&gt;http://www.ncbi.nlm.nih.gov/entrez/query.fcgi?cmd=Retrieve&amp;amp;db=pubmed&amp;amp;dopt=Abstract&amp;amp;list_uids=38237508&amp;amp;query_hl=1&lt;/_url&gt;&lt;_volume&gt;109&lt;/_volume&gt;&lt;/Details&gt;&lt;Extra&gt;&lt;DBUID&gt;{4639BE48-E8DA-433D-936E-D6A27A715D41}&lt;/DBUID&gt;&lt;/Extra&gt;&lt;/Item&gt;&lt;/References&gt;&lt;/Group&gt;&lt;/Citation&gt;_x000a_"/>
    <w:docVar w:name="ne_docsoft" w:val="MSWord"/>
    <w:docVar w:name="ne_docversion" w:val="NoteExpress 2.0"/>
    <w:docVar w:name="ne_stylename" w:val="中华人民共和国国家标准_GBT_7714-2005"/>
  </w:docVars>
  <w:rsids>
    <w:rsidRoot w:val="00172A27"/>
    <w:rsid w:val="00005A89"/>
    <w:rsid w:val="000843B5"/>
    <w:rsid w:val="001578E9"/>
    <w:rsid w:val="00172A27"/>
    <w:rsid w:val="001B3CC1"/>
    <w:rsid w:val="002657A0"/>
    <w:rsid w:val="0028303E"/>
    <w:rsid w:val="002A3D65"/>
    <w:rsid w:val="00357D0D"/>
    <w:rsid w:val="003D3FB3"/>
    <w:rsid w:val="00623A69"/>
    <w:rsid w:val="00640C5D"/>
    <w:rsid w:val="00687247"/>
    <w:rsid w:val="00720F14"/>
    <w:rsid w:val="00870D18"/>
    <w:rsid w:val="00881A62"/>
    <w:rsid w:val="008A3E0F"/>
    <w:rsid w:val="008D5055"/>
    <w:rsid w:val="00963F44"/>
    <w:rsid w:val="009809FF"/>
    <w:rsid w:val="00991D03"/>
    <w:rsid w:val="00A56308"/>
    <w:rsid w:val="00B72357"/>
    <w:rsid w:val="00BF2F8E"/>
    <w:rsid w:val="00D07AAF"/>
    <w:rsid w:val="00D3606F"/>
    <w:rsid w:val="00DA3180"/>
    <w:rsid w:val="00E8277E"/>
    <w:rsid w:val="00ED1E2A"/>
    <w:rsid w:val="00EF4FAC"/>
    <w:rsid w:val="00FD1A8D"/>
    <w:rsid w:val="011428ED"/>
    <w:rsid w:val="014B7F26"/>
    <w:rsid w:val="01AE4AA7"/>
    <w:rsid w:val="01B637F8"/>
    <w:rsid w:val="01E03AA4"/>
    <w:rsid w:val="02C20618"/>
    <w:rsid w:val="02E37511"/>
    <w:rsid w:val="033864A6"/>
    <w:rsid w:val="037F7841"/>
    <w:rsid w:val="03DA5004"/>
    <w:rsid w:val="040D0B9B"/>
    <w:rsid w:val="041E381F"/>
    <w:rsid w:val="04676E77"/>
    <w:rsid w:val="04714B31"/>
    <w:rsid w:val="049E46B5"/>
    <w:rsid w:val="04B9038B"/>
    <w:rsid w:val="04D14378"/>
    <w:rsid w:val="052258A0"/>
    <w:rsid w:val="052501AC"/>
    <w:rsid w:val="05461591"/>
    <w:rsid w:val="05B34780"/>
    <w:rsid w:val="05B95AC6"/>
    <w:rsid w:val="05BE5B43"/>
    <w:rsid w:val="05C70F57"/>
    <w:rsid w:val="05D2369C"/>
    <w:rsid w:val="06231F75"/>
    <w:rsid w:val="06545855"/>
    <w:rsid w:val="06687BF6"/>
    <w:rsid w:val="066E1476"/>
    <w:rsid w:val="0724086E"/>
    <w:rsid w:val="078612F9"/>
    <w:rsid w:val="07A07BF6"/>
    <w:rsid w:val="07B751C0"/>
    <w:rsid w:val="07E575BC"/>
    <w:rsid w:val="08CF5E61"/>
    <w:rsid w:val="08DF1698"/>
    <w:rsid w:val="08E47FB5"/>
    <w:rsid w:val="095C58C5"/>
    <w:rsid w:val="09A80531"/>
    <w:rsid w:val="09D678FF"/>
    <w:rsid w:val="09F7360E"/>
    <w:rsid w:val="09F87815"/>
    <w:rsid w:val="0A685ED2"/>
    <w:rsid w:val="0A7B4483"/>
    <w:rsid w:val="0A942C23"/>
    <w:rsid w:val="0ACF084B"/>
    <w:rsid w:val="0ADE4ED3"/>
    <w:rsid w:val="0B0E17C2"/>
    <w:rsid w:val="0B441536"/>
    <w:rsid w:val="0BAD28F8"/>
    <w:rsid w:val="0BAE1E49"/>
    <w:rsid w:val="0BF9233E"/>
    <w:rsid w:val="0C547201"/>
    <w:rsid w:val="0C7B478E"/>
    <w:rsid w:val="0C93094A"/>
    <w:rsid w:val="0CAD2014"/>
    <w:rsid w:val="0CB32C96"/>
    <w:rsid w:val="0CC60CD6"/>
    <w:rsid w:val="0CDD4EDA"/>
    <w:rsid w:val="0CE9136E"/>
    <w:rsid w:val="0CFE64EF"/>
    <w:rsid w:val="0D30193A"/>
    <w:rsid w:val="0D3C4A65"/>
    <w:rsid w:val="0D3D64F0"/>
    <w:rsid w:val="0D5079C9"/>
    <w:rsid w:val="0DCF133D"/>
    <w:rsid w:val="0E0248D2"/>
    <w:rsid w:val="0E3B3DFC"/>
    <w:rsid w:val="0E521185"/>
    <w:rsid w:val="0E9E28B2"/>
    <w:rsid w:val="0ED2440E"/>
    <w:rsid w:val="0EF746B1"/>
    <w:rsid w:val="0F2D7040"/>
    <w:rsid w:val="0F46588A"/>
    <w:rsid w:val="0F4946D0"/>
    <w:rsid w:val="0F533D48"/>
    <w:rsid w:val="0F922CBE"/>
    <w:rsid w:val="0FC27D71"/>
    <w:rsid w:val="100E76C7"/>
    <w:rsid w:val="10343F2D"/>
    <w:rsid w:val="10357E4D"/>
    <w:rsid w:val="10965B2C"/>
    <w:rsid w:val="10BE3E63"/>
    <w:rsid w:val="11A3769D"/>
    <w:rsid w:val="1219118C"/>
    <w:rsid w:val="121F3E0E"/>
    <w:rsid w:val="122E2BC1"/>
    <w:rsid w:val="127D1368"/>
    <w:rsid w:val="129017E2"/>
    <w:rsid w:val="129750B5"/>
    <w:rsid w:val="12D30E80"/>
    <w:rsid w:val="12E666D9"/>
    <w:rsid w:val="133166C3"/>
    <w:rsid w:val="1334692D"/>
    <w:rsid w:val="138541E4"/>
    <w:rsid w:val="139A267A"/>
    <w:rsid w:val="13F3470F"/>
    <w:rsid w:val="13FA5CA9"/>
    <w:rsid w:val="13FC10EE"/>
    <w:rsid w:val="14632C0D"/>
    <w:rsid w:val="14F33A91"/>
    <w:rsid w:val="14F41582"/>
    <w:rsid w:val="15554B55"/>
    <w:rsid w:val="15673B02"/>
    <w:rsid w:val="158414CC"/>
    <w:rsid w:val="15D135B5"/>
    <w:rsid w:val="165827DA"/>
    <w:rsid w:val="16DE23F5"/>
    <w:rsid w:val="16FB1BF9"/>
    <w:rsid w:val="175978F1"/>
    <w:rsid w:val="175C0A0C"/>
    <w:rsid w:val="177E360D"/>
    <w:rsid w:val="17974084"/>
    <w:rsid w:val="17A01388"/>
    <w:rsid w:val="188D4D7E"/>
    <w:rsid w:val="18B06DE7"/>
    <w:rsid w:val="18C022AA"/>
    <w:rsid w:val="18EF4420"/>
    <w:rsid w:val="18F51424"/>
    <w:rsid w:val="18F564D7"/>
    <w:rsid w:val="190D6B6A"/>
    <w:rsid w:val="191044B0"/>
    <w:rsid w:val="19374A2C"/>
    <w:rsid w:val="194D62D1"/>
    <w:rsid w:val="19936A46"/>
    <w:rsid w:val="19C83820"/>
    <w:rsid w:val="19DD4F45"/>
    <w:rsid w:val="1A3C61C7"/>
    <w:rsid w:val="1A591AF2"/>
    <w:rsid w:val="1AB44C3E"/>
    <w:rsid w:val="1B7D5BC9"/>
    <w:rsid w:val="1B8A48C1"/>
    <w:rsid w:val="1CD57418"/>
    <w:rsid w:val="1CD94D8F"/>
    <w:rsid w:val="1CED6756"/>
    <w:rsid w:val="1CF55C15"/>
    <w:rsid w:val="1D1E5C8F"/>
    <w:rsid w:val="1D554EFC"/>
    <w:rsid w:val="1D654AD9"/>
    <w:rsid w:val="1D8D60CF"/>
    <w:rsid w:val="1DDF3D70"/>
    <w:rsid w:val="1DED2A7F"/>
    <w:rsid w:val="1E3B3AC0"/>
    <w:rsid w:val="1E464F7E"/>
    <w:rsid w:val="1E545280"/>
    <w:rsid w:val="1EBB33DB"/>
    <w:rsid w:val="1F0C571A"/>
    <w:rsid w:val="1F933359"/>
    <w:rsid w:val="1FBA7C5E"/>
    <w:rsid w:val="20AD7B05"/>
    <w:rsid w:val="20E22BD6"/>
    <w:rsid w:val="21486522"/>
    <w:rsid w:val="21815522"/>
    <w:rsid w:val="22015551"/>
    <w:rsid w:val="223A6649"/>
    <w:rsid w:val="223D2C87"/>
    <w:rsid w:val="224469E3"/>
    <w:rsid w:val="22B51A66"/>
    <w:rsid w:val="22B56F85"/>
    <w:rsid w:val="22BA7D40"/>
    <w:rsid w:val="234715F0"/>
    <w:rsid w:val="237B14A3"/>
    <w:rsid w:val="2400133A"/>
    <w:rsid w:val="244F0DD0"/>
    <w:rsid w:val="246953F2"/>
    <w:rsid w:val="24847038"/>
    <w:rsid w:val="24AD2697"/>
    <w:rsid w:val="25450DC4"/>
    <w:rsid w:val="257855EB"/>
    <w:rsid w:val="258E2063"/>
    <w:rsid w:val="263C19DD"/>
    <w:rsid w:val="2647112D"/>
    <w:rsid w:val="265F50AF"/>
    <w:rsid w:val="26776A5C"/>
    <w:rsid w:val="26F21C8D"/>
    <w:rsid w:val="26FE32E2"/>
    <w:rsid w:val="27574CB3"/>
    <w:rsid w:val="27577A1C"/>
    <w:rsid w:val="277B51EB"/>
    <w:rsid w:val="27A43E66"/>
    <w:rsid w:val="27AD6D69"/>
    <w:rsid w:val="27BE5463"/>
    <w:rsid w:val="27F71E27"/>
    <w:rsid w:val="28322516"/>
    <w:rsid w:val="28341F69"/>
    <w:rsid w:val="28730112"/>
    <w:rsid w:val="28C45A67"/>
    <w:rsid w:val="28CF5806"/>
    <w:rsid w:val="2908797F"/>
    <w:rsid w:val="29C800A6"/>
    <w:rsid w:val="29D56979"/>
    <w:rsid w:val="29DE2D62"/>
    <w:rsid w:val="29E55607"/>
    <w:rsid w:val="29EE749A"/>
    <w:rsid w:val="29F102BA"/>
    <w:rsid w:val="2A247B33"/>
    <w:rsid w:val="2A320EE1"/>
    <w:rsid w:val="2A8C24B1"/>
    <w:rsid w:val="2AE80662"/>
    <w:rsid w:val="2AF034A4"/>
    <w:rsid w:val="2B146082"/>
    <w:rsid w:val="2B5F7D93"/>
    <w:rsid w:val="2C3B5D5E"/>
    <w:rsid w:val="2C417455"/>
    <w:rsid w:val="2C8F7BDB"/>
    <w:rsid w:val="2C925651"/>
    <w:rsid w:val="2CCC3583"/>
    <w:rsid w:val="2CF9108B"/>
    <w:rsid w:val="2D4F2BBB"/>
    <w:rsid w:val="2DB63420"/>
    <w:rsid w:val="2DC5364D"/>
    <w:rsid w:val="2DFA5890"/>
    <w:rsid w:val="2E1819E5"/>
    <w:rsid w:val="2E2B54B3"/>
    <w:rsid w:val="2E8B4E3F"/>
    <w:rsid w:val="2EB42CB4"/>
    <w:rsid w:val="2F967EFE"/>
    <w:rsid w:val="2FC6709B"/>
    <w:rsid w:val="30F74C20"/>
    <w:rsid w:val="30F849A7"/>
    <w:rsid w:val="313F499E"/>
    <w:rsid w:val="31A630E5"/>
    <w:rsid w:val="31A65D24"/>
    <w:rsid w:val="3216448E"/>
    <w:rsid w:val="3220355E"/>
    <w:rsid w:val="32327209"/>
    <w:rsid w:val="324B6634"/>
    <w:rsid w:val="326D6F64"/>
    <w:rsid w:val="32E126C8"/>
    <w:rsid w:val="33055644"/>
    <w:rsid w:val="3314591A"/>
    <w:rsid w:val="33AD71F4"/>
    <w:rsid w:val="3413189B"/>
    <w:rsid w:val="344D6738"/>
    <w:rsid w:val="346D2B6C"/>
    <w:rsid w:val="34873421"/>
    <w:rsid w:val="349940FD"/>
    <w:rsid w:val="35735BFE"/>
    <w:rsid w:val="358D0F0B"/>
    <w:rsid w:val="35DD672B"/>
    <w:rsid w:val="360B6793"/>
    <w:rsid w:val="36B934D6"/>
    <w:rsid w:val="36C8507B"/>
    <w:rsid w:val="36DB65EC"/>
    <w:rsid w:val="37126596"/>
    <w:rsid w:val="37135440"/>
    <w:rsid w:val="37643EED"/>
    <w:rsid w:val="376E4CC7"/>
    <w:rsid w:val="37857DB8"/>
    <w:rsid w:val="37B8768C"/>
    <w:rsid w:val="37D6078E"/>
    <w:rsid w:val="37F974E5"/>
    <w:rsid w:val="383E0261"/>
    <w:rsid w:val="387737AC"/>
    <w:rsid w:val="38B6004E"/>
    <w:rsid w:val="38DD3996"/>
    <w:rsid w:val="39761CB6"/>
    <w:rsid w:val="398268AC"/>
    <w:rsid w:val="398D772B"/>
    <w:rsid w:val="3993516A"/>
    <w:rsid w:val="39987453"/>
    <w:rsid w:val="39A02248"/>
    <w:rsid w:val="3A3A0D91"/>
    <w:rsid w:val="3A4C1FE8"/>
    <w:rsid w:val="3A577D39"/>
    <w:rsid w:val="3A644305"/>
    <w:rsid w:val="3AC5171A"/>
    <w:rsid w:val="3AD66EB0"/>
    <w:rsid w:val="3B3525FC"/>
    <w:rsid w:val="3B8406BA"/>
    <w:rsid w:val="3B8C6111"/>
    <w:rsid w:val="3BA935D7"/>
    <w:rsid w:val="3BAF489A"/>
    <w:rsid w:val="3BD90C4D"/>
    <w:rsid w:val="3BE1304A"/>
    <w:rsid w:val="3BED451F"/>
    <w:rsid w:val="3BF30478"/>
    <w:rsid w:val="3C7A2CC2"/>
    <w:rsid w:val="3CA52FDE"/>
    <w:rsid w:val="3CC943A5"/>
    <w:rsid w:val="3D493AFE"/>
    <w:rsid w:val="3D87623F"/>
    <w:rsid w:val="3D962E94"/>
    <w:rsid w:val="3DA64425"/>
    <w:rsid w:val="3DB56BD0"/>
    <w:rsid w:val="3E492A9D"/>
    <w:rsid w:val="3E96376C"/>
    <w:rsid w:val="3EDB2708"/>
    <w:rsid w:val="3EFA781E"/>
    <w:rsid w:val="3F3F5882"/>
    <w:rsid w:val="3F485A1E"/>
    <w:rsid w:val="402B5CEB"/>
    <w:rsid w:val="406A3048"/>
    <w:rsid w:val="407451A1"/>
    <w:rsid w:val="407A208B"/>
    <w:rsid w:val="40AC2A86"/>
    <w:rsid w:val="40B7508E"/>
    <w:rsid w:val="40CD652A"/>
    <w:rsid w:val="40D536A3"/>
    <w:rsid w:val="417B3F50"/>
    <w:rsid w:val="41CD4085"/>
    <w:rsid w:val="41F15113"/>
    <w:rsid w:val="42701B26"/>
    <w:rsid w:val="427B3351"/>
    <w:rsid w:val="42B52A5A"/>
    <w:rsid w:val="42CE1946"/>
    <w:rsid w:val="430F71C8"/>
    <w:rsid w:val="43257269"/>
    <w:rsid w:val="43636E11"/>
    <w:rsid w:val="436D4129"/>
    <w:rsid w:val="4399229E"/>
    <w:rsid w:val="43A40FBC"/>
    <w:rsid w:val="43C36A58"/>
    <w:rsid w:val="43CA332A"/>
    <w:rsid w:val="44366C11"/>
    <w:rsid w:val="443972B1"/>
    <w:rsid w:val="45324D06"/>
    <w:rsid w:val="455D4FF7"/>
    <w:rsid w:val="45612233"/>
    <w:rsid w:val="458F3906"/>
    <w:rsid w:val="45A659A2"/>
    <w:rsid w:val="45E9060E"/>
    <w:rsid w:val="462B6805"/>
    <w:rsid w:val="46381AE3"/>
    <w:rsid w:val="472B5B03"/>
    <w:rsid w:val="474E1ABD"/>
    <w:rsid w:val="483F6696"/>
    <w:rsid w:val="488175D2"/>
    <w:rsid w:val="49091489"/>
    <w:rsid w:val="49110BF8"/>
    <w:rsid w:val="496070A7"/>
    <w:rsid w:val="49624874"/>
    <w:rsid w:val="49677A92"/>
    <w:rsid w:val="499A3A7D"/>
    <w:rsid w:val="499B2377"/>
    <w:rsid w:val="49A02A8D"/>
    <w:rsid w:val="49B06B1E"/>
    <w:rsid w:val="49CE47F3"/>
    <w:rsid w:val="49DE368B"/>
    <w:rsid w:val="49DE392A"/>
    <w:rsid w:val="4A0355EA"/>
    <w:rsid w:val="4A211AF6"/>
    <w:rsid w:val="4AC05487"/>
    <w:rsid w:val="4AF15640"/>
    <w:rsid w:val="4AF869CF"/>
    <w:rsid w:val="4B002E76"/>
    <w:rsid w:val="4B0465AA"/>
    <w:rsid w:val="4B2B0B52"/>
    <w:rsid w:val="4B69167A"/>
    <w:rsid w:val="4B7A4925"/>
    <w:rsid w:val="4B983D0E"/>
    <w:rsid w:val="4BD62F94"/>
    <w:rsid w:val="4C07336D"/>
    <w:rsid w:val="4C3B0F0F"/>
    <w:rsid w:val="4C6A68C8"/>
    <w:rsid w:val="4CBD79A8"/>
    <w:rsid w:val="4CC90623"/>
    <w:rsid w:val="4D974F71"/>
    <w:rsid w:val="4D9A1FBF"/>
    <w:rsid w:val="4DA05427"/>
    <w:rsid w:val="4DA83402"/>
    <w:rsid w:val="4DC43157"/>
    <w:rsid w:val="4DE13453"/>
    <w:rsid w:val="4E0C6338"/>
    <w:rsid w:val="4E0D280B"/>
    <w:rsid w:val="4E301714"/>
    <w:rsid w:val="4E4D3E8B"/>
    <w:rsid w:val="4EF33188"/>
    <w:rsid w:val="4F125DB4"/>
    <w:rsid w:val="4F600A49"/>
    <w:rsid w:val="4FCD21B3"/>
    <w:rsid w:val="4FCD7C33"/>
    <w:rsid w:val="50073396"/>
    <w:rsid w:val="505A3781"/>
    <w:rsid w:val="506F1978"/>
    <w:rsid w:val="509B5D52"/>
    <w:rsid w:val="50A20EC8"/>
    <w:rsid w:val="50E75778"/>
    <w:rsid w:val="510D1493"/>
    <w:rsid w:val="51342049"/>
    <w:rsid w:val="514A6A2D"/>
    <w:rsid w:val="5176004D"/>
    <w:rsid w:val="517A68F6"/>
    <w:rsid w:val="521D342B"/>
    <w:rsid w:val="52517D92"/>
    <w:rsid w:val="525D22C2"/>
    <w:rsid w:val="52761786"/>
    <w:rsid w:val="527E3C5D"/>
    <w:rsid w:val="52AC01B3"/>
    <w:rsid w:val="52B21E9C"/>
    <w:rsid w:val="52DC0984"/>
    <w:rsid w:val="52FD6FCE"/>
    <w:rsid w:val="532631A0"/>
    <w:rsid w:val="533E1FD1"/>
    <w:rsid w:val="53775670"/>
    <w:rsid w:val="538A68C5"/>
    <w:rsid w:val="53B250FE"/>
    <w:rsid w:val="543C7239"/>
    <w:rsid w:val="544A7F96"/>
    <w:rsid w:val="54662BFB"/>
    <w:rsid w:val="54BA6AA3"/>
    <w:rsid w:val="54CD4A28"/>
    <w:rsid w:val="54CE0DDF"/>
    <w:rsid w:val="552D788F"/>
    <w:rsid w:val="558547CF"/>
    <w:rsid w:val="5598453A"/>
    <w:rsid w:val="559B68D4"/>
    <w:rsid w:val="55E22F92"/>
    <w:rsid w:val="55F85AD5"/>
    <w:rsid w:val="560834BB"/>
    <w:rsid w:val="56097239"/>
    <w:rsid w:val="562D39EC"/>
    <w:rsid w:val="56424E38"/>
    <w:rsid w:val="56521B76"/>
    <w:rsid w:val="56B54B46"/>
    <w:rsid w:val="56F14533"/>
    <w:rsid w:val="576D38A5"/>
    <w:rsid w:val="578E42DB"/>
    <w:rsid w:val="57907E1B"/>
    <w:rsid w:val="57F06260"/>
    <w:rsid w:val="58322830"/>
    <w:rsid w:val="588B6537"/>
    <w:rsid w:val="58A028A1"/>
    <w:rsid w:val="58CB7EDB"/>
    <w:rsid w:val="58DF25D2"/>
    <w:rsid w:val="58F02387"/>
    <w:rsid w:val="591946E0"/>
    <w:rsid w:val="591E630F"/>
    <w:rsid w:val="592310BA"/>
    <w:rsid w:val="598976A2"/>
    <w:rsid w:val="59B01FC6"/>
    <w:rsid w:val="59B845B9"/>
    <w:rsid w:val="5A010C14"/>
    <w:rsid w:val="5A020223"/>
    <w:rsid w:val="5A041AE8"/>
    <w:rsid w:val="5A224B80"/>
    <w:rsid w:val="5A8C5039"/>
    <w:rsid w:val="5AAA37D0"/>
    <w:rsid w:val="5AEC6CFC"/>
    <w:rsid w:val="5B0311A3"/>
    <w:rsid w:val="5B2D3DB3"/>
    <w:rsid w:val="5B51781D"/>
    <w:rsid w:val="5BDB5C90"/>
    <w:rsid w:val="5BFD0047"/>
    <w:rsid w:val="5C1A2AF8"/>
    <w:rsid w:val="5C1E4887"/>
    <w:rsid w:val="5C621EFA"/>
    <w:rsid w:val="5C6A5CB5"/>
    <w:rsid w:val="5CD72F31"/>
    <w:rsid w:val="5D4517E3"/>
    <w:rsid w:val="5DB151BF"/>
    <w:rsid w:val="5DCE051A"/>
    <w:rsid w:val="5DD20996"/>
    <w:rsid w:val="5DF179D9"/>
    <w:rsid w:val="5E015742"/>
    <w:rsid w:val="5E15070A"/>
    <w:rsid w:val="5E324401"/>
    <w:rsid w:val="5E990FF0"/>
    <w:rsid w:val="5F697B82"/>
    <w:rsid w:val="5FA261F9"/>
    <w:rsid w:val="5FBC2A4E"/>
    <w:rsid w:val="5FC23BC4"/>
    <w:rsid w:val="605A37BF"/>
    <w:rsid w:val="6067617A"/>
    <w:rsid w:val="6076677C"/>
    <w:rsid w:val="60906C21"/>
    <w:rsid w:val="609F557C"/>
    <w:rsid w:val="60AD6F2D"/>
    <w:rsid w:val="60C4385A"/>
    <w:rsid w:val="60D74C5E"/>
    <w:rsid w:val="60F0644F"/>
    <w:rsid w:val="61156DDE"/>
    <w:rsid w:val="613E355B"/>
    <w:rsid w:val="61743E86"/>
    <w:rsid w:val="61B10D65"/>
    <w:rsid w:val="61D4389A"/>
    <w:rsid w:val="620A72BB"/>
    <w:rsid w:val="62146D6D"/>
    <w:rsid w:val="62830E1C"/>
    <w:rsid w:val="62960321"/>
    <w:rsid w:val="62F524BD"/>
    <w:rsid w:val="62FD0BCE"/>
    <w:rsid w:val="63355D45"/>
    <w:rsid w:val="63676048"/>
    <w:rsid w:val="637D2246"/>
    <w:rsid w:val="63C41739"/>
    <w:rsid w:val="63CF1FE3"/>
    <w:rsid w:val="63FE72D8"/>
    <w:rsid w:val="647B7FFD"/>
    <w:rsid w:val="648864E0"/>
    <w:rsid w:val="649966D5"/>
    <w:rsid w:val="64BD33A1"/>
    <w:rsid w:val="64C37BF6"/>
    <w:rsid w:val="65341166"/>
    <w:rsid w:val="65936B3B"/>
    <w:rsid w:val="65981CCC"/>
    <w:rsid w:val="65B16F71"/>
    <w:rsid w:val="6659436D"/>
    <w:rsid w:val="66B955E9"/>
    <w:rsid w:val="66C53FF7"/>
    <w:rsid w:val="66C81752"/>
    <w:rsid w:val="66FC4903"/>
    <w:rsid w:val="67172E22"/>
    <w:rsid w:val="674D3644"/>
    <w:rsid w:val="675000AD"/>
    <w:rsid w:val="68040309"/>
    <w:rsid w:val="6837619D"/>
    <w:rsid w:val="68455D81"/>
    <w:rsid w:val="686D7CF2"/>
    <w:rsid w:val="686E38C7"/>
    <w:rsid w:val="68964CA6"/>
    <w:rsid w:val="689C02C2"/>
    <w:rsid w:val="690F51B7"/>
    <w:rsid w:val="69195537"/>
    <w:rsid w:val="69236EB5"/>
    <w:rsid w:val="699833C0"/>
    <w:rsid w:val="699A2787"/>
    <w:rsid w:val="69A27DD9"/>
    <w:rsid w:val="6A0A6EBF"/>
    <w:rsid w:val="6A166B70"/>
    <w:rsid w:val="6A955B90"/>
    <w:rsid w:val="6A9A7F80"/>
    <w:rsid w:val="6AA372B4"/>
    <w:rsid w:val="6AA714FE"/>
    <w:rsid w:val="6AB47906"/>
    <w:rsid w:val="6AB862F6"/>
    <w:rsid w:val="6AD37EE9"/>
    <w:rsid w:val="6B030D4C"/>
    <w:rsid w:val="6B1C7BB6"/>
    <w:rsid w:val="6C48398C"/>
    <w:rsid w:val="6C4D359B"/>
    <w:rsid w:val="6C5935CB"/>
    <w:rsid w:val="6C837F78"/>
    <w:rsid w:val="6CAE5AFD"/>
    <w:rsid w:val="6CCB5A50"/>
    <w:rsid w:val="6CE30E35"/>
    <w:rsid w:val="6CE36223"/>
    <w:rsid w:val="6CEB4E59"/>
    <w:rsid w:val="6D0843F7"/>
    <w:rsid w:val="6D091F08"/>
    <w:rsid w:val="6D37002D"/>
    <w:rsid w:val="6D7502C8"/>
    <w:rsid w:val="6D8048D6"/>
    <w:rsid w:val="6DA10F8D"/>
    <w:rsid w:val="6DAA3DA2"/>
    <w:rsid w:val="6E595232"/>
    <w:rsid w:val="6E5E2B4E"/>
    <w:rsid w:val="6E654045"/>
    <w:rsid w:val="6E9028F6"/>
    <w:rsid w:val="6EA36E24"/>
    <w:rsid w:val="6EDD6382"/>
    <w:rsid w:val="6EE35F8C"/>
    <w:rsid w:val="6F09670D"/>
    <w:rsid w:val="6F1015AA"/>
    <w:rsid w:val="6F160C72"/>
    <w:rsid w:val="6F216E61"/>
    <w:rsid w:val="6F443499"/>
    <w:rsid w:val="6F530CD9"/>
    <w:rsid w:val="6F6A75EB"/>
    <w:rsid w:val="6FB337FE"/>
    <w:rsid w:val="7028082A"/>
    <w:rsid w:val="70361D3F"/>
    <w:rsid w:val="703D2ECD"/>
    <w:rsid w:val="706867D2"/>
    <w:rsid w:val="70B23411"/>
    <w:rsid w:val="70F70434"/>
    <w:rsid w:val="711B49E0"/>
    <w:rsid w:val="714248E6"/>
    <w:rsid w:val="718255BD"/>
    <w:rsid w:val="71924FFA"/>
    <w:rsid w:val="71C56D5B"/>
    <w:rsid w:val="72020F29"/>
    <w:rsid w:val="72A71D8A"/>
    <w:rsid w:val="731D3250"/>
    <w:rsid w:val="73555D45"/>
    <w:rsid w:val="735F0C90"/>
    <w:rsid w:val="73993DD0"/>
    <w:rsid w:val="73A806E2"/>
    <w:rsid w:val="73BC6B02"/>
    <w:rsid w:val="73C51A78"/>
    <w:rsid w:val="744018C3"/>
    <w:rsid w:val="748A7EA3"/>
    <w:rsid w:val="74FA32EF"/>
    <w:rsid w:val="750B1F2D"/>
    <w:rsid w:val="7520016B"/>
    <w:rsid w:val="758F2208"/>
    <w:rsid w:val="75E92286"/>
    <w:rsid w:val="76182881"/>
    <w:rsid w:val="76650B0D"/>
    <w:rsid w:val="76D8308D"/>
    <w:rsid w:val="76E42A9B"/>
    <w:rsid w:val="76E43E82"/>
    <w:rsid w:val="76EE3833"/>
    <w:rsid w:val="774A751F"/>
    <w:rsid w:val="77511538"/>
    <w:rsid w:val="77524A1A"/>
    <w:rsid w:val="77586705"/>
    <w:rsid w:val="77996CC0"/>
    <w:rsid w:val="77B37656"/>
    <w:rsid w:val="77C11B18"/>
    <w:rsid w:val="77FC10F8"/>
    <w:rsid w:val="781E514E"/>
    <w:rsid w:val="793146BD"/>
    <w:rsid w:val="79C42E5E"/>
    <w:rsid w:val="7A5545C8"/>
    <w:rsid w:val="7A6A47EC"/>
    <w:rsid w:val="7AAF4729"/>
    <w:rsid w:val="7AC65415"/>
    <w:rsid w:val="7B330CC4"/>
    <w:rsid w:val="7B483DD4"/>
    <w:rsid w:val="7B51253B"/>
    <w:rsid w:val="7B7955D6"/>
    <w:rsid w:val="7BC41578"/>
    <w:rsid w:val="7C1549BE"/>
    <w:rsid w:val="7CC77E2B"/>
    <w:rsid w:val="7D263E1C"/>
    <w:rsid w:val="7D4C4FD0"/>
    <w:rsid w:val="7D554B10"/>
    <w:rsid w:val="7D78229F"/>
    <w:rsid w:val="7D7B0AF4"/>
    <w:rsid w:val="7D863935"/>
    <w:rsid w:val="7DB87C87"/>
    <w:rsid w:val="7E0C5029"/>
    <w:rsid w:val="7E186111"/>
    <w:rsid w:val="7E236065"/>
    <w:rsid w:val="7EF72187"/>
    <w:rsid w:val="7F307111"/>
    <w:rsid w:val="7F6264B5"/>
    <w:rsid w:val="7FBA4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annotation text"/>
    <w:basedOn w:val="1"/>
    <w:link w:val="21"/>
    <w:qFormat/>
    <w:uiPriority w:val="0"/>
    <w:pPr>
      <w:jc w:val="left"/>
    </w:pPr>
  </w:style>
  <w:style w:type="paragraph" w:styleId="4">
    <w:name w:val="Balloon Text"/>
    <w:basedOn w:val="1"/>
    <w:link w:val="2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qFormat/>
    <w:uiPriority w:val="0"/>
    <w:pPr>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annotation subject"/>
    <w:basedOn w:val="3"/>
    <w:next w:val="3"/>
    <w:link w:val="22"/>
    <w:qFormat/>
    <w:uiPriority w:val="0"/>
    <w:rPr>
      <w:b/>
      <w:bCs/>
    </w:rPr>
  </w:style>
  <w:style w:type="character" w:styleId="12">
    <w:name w:val="Emphasis"/>
    <w:basedOn w:val="11"/>
    <w:qFormat/>
    <w:uiPriority w:val="0"/>
    <w:rPr>
      <w:i/>
    </w:rPr>
  </w:style>
  <w:style w:type="character" w:styleId="13">
    <w:name w:val="annotation reference"/>
    <w:basedOn w:val="11"/>
    <w:qFormat/>
    <w:uiPriority w:val="0"/>
    <w:rPr>
      <w:sz w:val="21"/>
      <w:szCs w:val="21"/>
    </w:rPr>
  </w:style>
  <w:style w:type="character" w:styleId="14">
    <w:name w:val="footnote reference"/>
    <w:basedOn w:val="11"/>
    <w:qFormat/>
    <w:uiPriority w:val="0"/>
    <w:rPr>
      <w:vertAlign w:val="superscript"/>
    </w:rPr>
  </w:style>
  <w:style w:type="character" w:customStyle="1" w:styleId="15">
    <w:name w:val="font11"/>
    <w:basedOn w:val="11"/>
    <w:qFormat/>
    <w:uiPriority w:val="0"/>
    <w:rPr>
      <w:rFonts w:hint="eastAsia" w:ascii="宋体" w:hAnsi="宋体" w:eastAsia="宋体" w:cs="宋体"/>
      <w:color w:val="000000"/>
      <w:sz w:val="15"/>
      <w:szCs w:val="15"/>
      <w:u w:val="none"/>
    </w:rPr>
  </w:style>
  <w:style w:type="character" w:customStyle="1" w:styleId="16">
    <w:name w:val="font21"/>
    <w:basedOn w:val="11"/>
    <w:qFormat/>
    <w:uiPriority w:val="0"/>
    <w:rPr>
      <w:rFonts w:hint="default" w:ascii="Times New Roman" w:hAnsi="Times New Roman" w:cs="Times New Roman"/>
      <w:color w:val="000000"/>
      <w:sz w:val="15"/>
      <w:szCs w:val="15"/>
      <w:u w:val="none"/>
    </w:rPr>
  </w:style>
  <w:style w:type="character" w:customStyle="1" w:styleId="17">
    <w:name w:val="font61"/>
    <w:basedOn w:val="11"/>
    <w:qFormat/>
    <w:uiPriority w:val="0"/>
    <w:rPr>
      <w:rFonts w:ascii="仿宋_GB2312" w:eastAsia="仿宋_GB2312" w:cs="仿宋_GB2312"/>
      <w:color w:val="000000"/>
      <w:sz w:val="24"/>
      <w:szCs w:val="24"/>
      <w:u w:val="none"/>
      <w:vertAlign w:val="subscript"/>
    </w:rPr>
  </w:style>
  <w:style w:type="character" w:customStyle="1" w:styleId="18">
    <w:name w:val="font31"/>
    <w:basedOn w:val="11"/>
    <w:qFormat/>
    <w:uiPriority w:val="0"/>
    <w:rPr>
      <w:rFonts w:hint="eastAsia" w:ascii="宋体" w:hAnsi="宋体" w:eastAsia="宋体" w:cs="宋体"/>
      <w:color w:val="000000"/>
      <w:sz w:val="20"/>
      <w:szCs w:val="20"/>
      <w:u w:val="none"/>
    </w:rPr>
  </w:style>
  <w:style w:type="paragraph" w:customStyle="1" w:styleId="19">
    <w:name w:val="56表体内容"/>
    <w:basedOn w:val="20"/>
    <w:qFormat/>
    <w:uiPriority w:val="0"/>
    <w:pPr>
      <w:jc w:val="center"/>
    </w:pPr>
  </w:style>
  <w:style w:type="paragraph" w:customStyle="1" w:styleId="20">
    <w:name w:val="[系统文字]"/>
    <w:qFormat/>
    <w:uiPriority w:val="0"/>
    <w:pPr>
      <w:jc w:val="both"/>
    </w:pPr>
    <w:rPr>
      <w:rFonts w:hAnsi="NEU-BZ" w:asciiTheme="minorHAnsi" w:eastAsiaTheme="minorEastAsia" w:cstheme="minorBidi"/>
      <w:sz w:val="22"/>
      <w:szCs w:val="22"/>
      <w:lang w:val="en-US" w:eastAsia="zh-CN" w:bidi="ar-SA"/>
    </w:rPr>
  </w:style>
  <w:style w:type="character" w:customStyle="1" w:styleId="21">
    <w:name w:val="批注文字 字符"/>
    <w:basedOn w:val="11"/>
    <w:link w:val="3"/>
    <w:qFormat/>
    <w:uiPriority w:val="0"/>
    <w:rPr>
      <w:kern w:val="2"/>
      <w:sz w:val="21"/>
    </w:rPr>
  </w:style>
  <w:style w:type="character" w:customStyle="1" w:styleId="22">
    <w:name w:val="批注主题 字符"/>
    <w:basedOn w:val="21"/>
    <w:link w:val="9"/>
    <w:qFormat/>
    <w:uiPriority w:val="0"/>
    <w:rPr>
      <w:b/>
      <w:bCs/>
      <w:kern w:val="2"/>
      <w:sz w:val="21"/>
    </w:rPr>
  </w:style>
  <w:style w:type="character" w:customStyle="1" w:styleId="23">
    <w:name w:val="批注框文本 字符"/>
    <w:basedOn w:val="11"/>
    <w:link w:val="4"/>
    <w:qFormat/>
    <w:uiPriority w:val="0"/>
    <w:rPr>
      <w:kern w:val="2"/>
      <w:sz w:val="18"/>
      <w:szCs w:val="18"/>
    </w:rPr>
  </w:style>
  <w:style w:type="character" w:customStyle="1" w:styleId="24">
    <w:name w:val="cf01"/>
    <w:basedOn w:val="11"/>
    <w:qFormat/>
    <w:uiPriority w:val="0"/>
    <w:rPr>
      <w:rFonts w:ascii="微软雅黑" w:hAnsi="微软雅黑" w:eastAsia="微软雅黑" w:cs="微软雅黑"/>
      <w:sz w:val="22"/>
      <w:szCs w:val="22"/>
    </w:rPr>
  </w:style>
  <w:style w:type="character" w:customStyle="1" w:styleId="25">
    <w:name w:val="font01"/>
    <w:basedOn w:val="11"/>
    <w:qFormat/>
    <w:uiPriority w:val="0"/>
    <w:rPr>
      <w:rFonts w:hint="eastAsia" w:ascii="宋体" w:hAnsi="宋体" w:eastAsia="宋体" w:cs="宋体"/>
      <w:color w:val="000000"/>
      <w:sz w:val="22"/>
      <w:szCs w:val="22"/>
      <w:u w:val="none"/>
    </w:rPr>
  </w:style>
  <w:style w:type="character" w:customStyle="1" w:styleId="26">
    <w:name w:val="font71"/>
    <w:basedOn w:val="11"/>
    <w:qFormat/>
    <w:uiPriority w:val="0"/>
    <w:rPr>
      <w:rFonts w:hint="default" w:ascii="Times New Roman" w:hAnsi="Times New Roman" w:cs="Times New Roman"/>
      <w:color w:val="333333"/>
      <w:sz w:val="24"/>
      <w:szCs w:val="24"/>
      <w:u w:val="none"/>
      <w:vertAlign w:val="subscript"/>
    </w:rPr>
  </w:style>
  <w:style w:type="character" w:customStyle="1" w:styleId="27">
    <w:name w:val="font101"/>
    <w:basedOn w:val="11"/>
    <w:qFormat/>
    <w:uiPriority w:val="0"/>
    <w:rPr>
      <w:rFonts w:hint="default" w:ascii="Times New Roman" w:hAnsi="Times New Roman" w:cs="Times New Roman"/>
      <w:color w:val="333333"/>
      <w:sz w:val="24"/>
      <w:szCs w:val="24"/>
      <w:u w:val="none"/>
      <w:vertAlign w:val="subscript"/>
    </w:rPr>
  </w:style>
  <w:style w:type="character" w:customStyle="1" w:styleId="28">
    <w:name w:val="font81"/>
    <w:basedOn w:val="11"/>
    <w:qFormat/>
    <w:uiPriority w:val="0"/>
    <w:rPr>
      <w:rFonts w:hint="default" w:ascii="Times New Roman" w:hAnsi="Times New Roman" w:cs="Times New Roman"/>
      <w:color w:val="000000"/>
      <w:sz w:val="24"/>
      <w:szCs w:val="24"/>
      <w:u w:val="none"/>
    </w:rPr>
  </w:style>
  <w:style w:type="character" w:customStyle="1" w:styleId="29">
    <w:name w:val="font41"/>
    <w:basedOn w:val="11"/>
    <w:qFormat/>
    <w:uiPriority w:val="0"/>
    <w:rPr>
      <w:rFonts w:hint="default" w:ascii="Times New Roman" w:hAnsi="Times New Roman" w:cs="Times New Roman"/>
      <w:color w:val="000000"/>
      <w:sz w:val="24"/>
      <w:szCs w:val="24"/>
      <w:u w:val="none"/>
    </w:rPr>
  </w:style>
  <w:style w:type="character" w:customStyle="1" w:styleId="30">
    <w:name w:val="font51"/>
    <w:basedOn w:val="11"/>
    <w:qFormat/>
    <w:uiPriority w:val="0"/>
    <w:rPr>
      <w:rFonts w:hint="eastAsia" w:ascii="宋体" w:hAnsi="宋体" w:eastAsia="宋体" w:cs="宋体"/>
      <w:color w:val="000000"/>
      <w:sz w:val="24"/>
      <w:szCs w:val="24"/>
      <w:u w:val="none"/>
    </w:rPr>
  </w:style>
  <w:style w:type="character" w:customStyle="1" w:styleId="31">
    <w:name w:val="font91"/>
    <w:basedOn w:val="1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5.bin"/><Relationship Id="rId8" Type="http://schemas.openxmlformats.org/officeDocument/2006/relationships/oleObject" Target="embeddings/oleObject4.bin"/><Relationship Id="rId7" Type="http://schemas.openxmlformats.org/officeDocument/2006/relationships/oleObject" Target="embeddings/oleObject3.bin"/><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3.wmf"/><Relationship Id="rId15" Type="http://schemas.openxmlformats.org/officeDocument/2006/relationships/oleObject" Target="embeddings/oleObject10.bin"/><Relationship Id="rId14" Type="http://schemas.openxmlformats.org/officeDocument/2006/relationships/oleObject" Target="embeddings/oleObject9.bin"/><Relationship Id="rId13" Type="http://schemas.openxmlformats.org/officeDocument/2006/relationships/image" Target="media/image2.wmf"/><Relationship Id="rId12" Type="http://schemas.openxmlformats.org/officeDocument/2006/relationships/oleObject" Target="embeddings/oleObject8.bin"/><Relationship Id="rId11" Type="http://schemas.openxmlformats.org/officeDocument/2006/relationships/oleObject" Target="embeddings/oleObject7.bin"/><Relationship Id="rId10" Type="http://schemas.openxmlformats.org/officeDocument/2006/relationships/oleObject" Target="embeddings/oleObject6.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xmlns="http://www.founder.com/ProofFile">
  <Root proofFileId="24b62048-4cd9-45a0-8a39-7639a93d629c" proofVersionId="5"/>
</Root>
</file>

<file path=customXml/item2.xml><?xml version="1.0" encoding="utf-8"?>
<Root xmlns="http://www.founder.com/ReferenceTask">
  <Root taskID="fdcba871-68d1-423a-9400-36acba3a3da8"/>
</Root>
</file>

<file path=customXml/itemProps1.xml><?xml version="1.0" encoding="utf-8"?>
<ds:datastoreItem xmlns:ds="http://schemas.openxmlformats.org/officeDocument/2006/customXml" ds:itemID="{152901cb-6b6a-4997-98f8-496a95317687}">
  <ds:schemaRefs/>
</ds:datastoreItem>
</file>

<file path=customXml/itemProps2.xml><?xml version="1.0" encoding="utf-8"?>
<ds:datastoreItem xmlns:ds="http://schemas.openxmlformats.org/officeDocument/2006/customXml" ds:itemID="{72107c24-e025-46ed-9d1a-4787b19deadb}">
  <ds:schemaRefs/>
</ds:datastoreItem>
</file>

<file path=docProps/app.xml><?xml version="1.0" encoding="utf-8"?>
<Properties xmlns="http://schemas.openxmlformats.org/officeDocument/2006/extended-properties" xmlns:vt="http://schemas.openxmlformats.org/officeDocument/2006/docPropsVTypes">
  <Template>Normal</Template>
  <Pages>19</Pages>
  <Words>10481</Words>
  <Characters>23690</Characters>
  <Lines>1309</Lines>
  <Paragraphs>1178</Paragraphs>
  <TotalTime>24</TotalTime>
  <ScaleCrop>false</ScaleCrop>
  <LinksUpToDate>false</LinksUpToDate>
  <CharactersWithSpaces>25533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2025-05-22T13:30:00Z</dcterms:created>
  <dc:creator>86134</dc:creator>
  <cp:lastModifiedBy>小裴</cp:lastModifiedBy>
  <cp:lastPrinted>2025-08-12T02:58:00Z</cp:lastPrinted>
  <dcterms:modified xsi:type="dcterms:W3CDTF">2025-08-26T05:48:02Z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eyJoZGlkIjoiMTk3YzQ2OWFhNWE1NzRhZTUxZDJlM2VhMjQwNWI4YjEiLCJ1c2VySWQiOiIzNjIzMDAyMTgifQ==</vt:lpwstr>
  </property>
  <property fmtid="{D5CDD505-2E9C-101B-9397-08002B2CF9AE}" pid="4" name="ICV">
    <vt:lpwstr>F0BD7FDC6F5B40EFBA4809EC23AC0C4E_13</vt:lpwstr>
  </property>
</Properties>
</file>