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A05B9">
      <w:pPr>
        <w:jc w:val="center"/>
        <w:rPr>
          <w:rFonts w:hint="eastAsia" w:ascii="宋体" w:hAnsi="宋体" w:eastAsia="宋体"/>
          <w:sz w:val="30"/>
          <w:szCs w:val="30"/>
        </w:rPr>
      </w:pPr>
      <w:bookmarkStart w:id="0" w:name="OLE_LINK8"/>
      <w:r>
        <w:rPr>
          <w:rFonts w:hint="eastAsia" w:ascii="宋体" w:hAnsi="宋体" w:eastAsia="宋体"/>
          <w:sz w:val="30"/>
          <w:szCs w:val="30"/>
        </w:rPr>
        <w:t>骶骨瘤患者围术期大量输血的术前危险因素分析</w:t>
      </w:r>
    </w:p>
    <w:bookmarkEnd w:id="0"/>
    <w:p w14:paraId="114A8A30">
      <w:pPr>
        <w:jc w:val="center"/>
        <w:rPr>
          <w:rFonts w:hint="eastAsia" w:ascii="宋体" w:hAnsi="宋体" w:eastAsia="宋体"/>
          <w:sz w:val="21"/>
          <w:szCs w:val="21"/>
        </w:rPr>
      </w:pPr>
      <w:r>
        <w:rPr>
          <w:rFonts w:hint="eastAsia" w:ascii="宋体" w:hAnsi="宋体" w:eastAsia="宋体"/>
          <w:sz w:val="21"/>
          <w:szCs w:val="21"/>
        </w:rPr>
        <w:t>吴桂玉 刘英 冯晓敏 王超 徐东江（首都医科大学附属北京积水潭医院输血科）</w:t>
      </w:r>
    </w:p>
    <w:p w14:paraId="73A41034">
      <w:pPr>
        <w:rPr>
          <w:rFonts w:hint="eastAsia" w:ascii="宋体" w:hAnsi="宋体" w:eastAsia="宋体"/>
          <w:sz w:val="21"/>
          <w:szCs w:val="21"/>
        </w:rPr>
      </w:pPr>
      <w:bookmarkStart w:id="1" w:name="OLE_LINK2"/>
      <w:r>
        <w:rPr>
          <w:rFonts w:hint="eastAsia" w:ascii="宋体" w:hAnsi="宋体" w:eastAsia="宋体"/>
          <w:b/>
          <w:bCs/>
          <w:sz w:val="21"/>
          <w:szCs w:val="21"/>
        </w:rPr>
        <w:t>摘要：目的</w:t>
      </w:r>
      <w:r>
        <w:rPr>
          <w:rFonts w:hint="eastAsia" w:ascii="宋体" w:hAnsi="宋体" w:eastAsia="宋体"/>
          <w:sz w:val="21"/>
          <w:szCs w:val="21"/>
        </w:rPr>
        <w:t xml:space="preserve"> 研究骶骨瘤围术期大量输血的术前危险因素。</w:t>
      </w:r>
      <w:r>
        <w:rPr>
          <w:rFonts w:hint="eastAsia" w:ascii="宋体" w:hAnsi="宋体" w:eastAsia="宋体"/>
          <w:b/>
          <w:bCs/>
          <w:sz w:val="21"/>
          <w:szCs w:val="21"/>
        </w:rPr>
        <w:t xml:space="preserve">方法 </w:t>
      </w:r>
      <w:r>
        <w:rPr>
          <w:rFonts w:hint="eastAsia" w:ascii="宋体" w:hAnsi="宋体" w:eastAsia="宋体"/>
          <w:sz w:val="21"/>
          <w:szCs w:val="21"/>
        </w:rPr>
        <w:t>回顾性分析本院</w:t>
      </w:r>
      <w:bookmarkStart w:id="2" w:name="_Hlk187866492"/>
      <w:r>
        <w:rPr>
          <w:rFonts w:hint="eastAsia" w:ascii="宋体" w:hAnsi="宋体" w:eastAsia="宋体"/>
          <w:sz w:val="21"/>
          <w:szCs w:val="21"/>
        </w:rPr>
        <w:t>2021年9月~ 2024年9月的33例骶骨瘤手术患者临床资料</w:t>
      </w:r>
      <w:bookmarkEnd w:id="2"/>
      <w:r>
        <w:rPr>
          <w:rFonts w:hint="eastAsia" w:ascii="宋体" w:hAnsi="宋体" w:eastAsia="宋体"/>
          <w:sz w:val="21"/>
          <w:szCs w:val="21"/>
        </w:rPr>
        <w:t xml:space="preserve">(基本资料、基础病史)、术前相关实验室检查(全血细胞计数、凝血 5 项、肝功能)和术中、术后 24h 内血液制品种类及用量等指标。根据术中或术后24h红细胞输注量将患者分为大量输血组和非大量输血组,对两组患者的临床资料和术前相关实验室检查进行单因素分析,最后对经过单因素分析有统计学意义的变量做多因素logistic回归分析。 </w:t>
      </w:r>
      <w:r>
        <w:rPr>
          <w:rFonts w:hint="eastAsia" w:ascii="宋体" w:hAnsi="宋体" w:eastAsia="宋体"/>
          <w:b/>
          <w:bCs/>
          <w:sz w:val="21"/>
          <w:szCs w:val="21"/>
        </w:rPr>
        <w:t>结果</w:t>
      </w:r>
      <w:r>
        <w:rPr>
          <w:rFonts w:hint="eastAsia" w:ascii="宋体" w:hAnsi="宋体" w:eastAsia="宋体"/>
          <w:sz w:val="21"/>
          <w:szCs w:val="21"/>
        </w:rPr>
        <w:t xml:space="preserve"> 单因素分析发现两组患者之间的纤维蛋白原（FIB）、</w:t>
      </w:r>
      <w:bookmarkStart w:id="3" w:name="_Hlk187867416"/>
      <w:r>
        <w:rPr>
          <w:rFonts w:hint="eastAsia" w:ascii="宋体" w:hAnsi="宋体" w:eastAsia="宋体"/>
          <w:sz w:val="21"/>
          <w:szCs w:val="21"/>
        </w:rPr>
        <w:t>凝血酶原时间(PT)、活化部分凝血酶原时间（APTT）,丙氨酸氨基转移酶酶(ALT)</w:t>
      </w:r>
      <w:bookmarkEnd w:id="3"/>
      <w:r>
        <w:rPr>
          <w:rFonts w:hint="eastAsia" w:ascii="宋体" w:hAnsi="宋体" w:eastAsia="宋体"/>
          <w:sz w:val="21"/>
          <w:szCs w:val="21"/>
        </w:rPr>
        <w:t>、手术时长（h），手术部位，手术体位的差异具有统计学意义</w:t>
      </w:r>
      <w:bookmarkStart w:id="4" w:name="_Hlk187867804"/>
      <w:r>
        <w:rPr>
          <w:rFonts w:hint="eastAsia" w:ascii="宋体" w:hAnsi="宋体" w:eastAsia="宋体"/>
          <w:sz w:val="21"/>
          <w:szCs w:val="21"/>
        </w:rPr>
        <w:t>（P＜0.05）</w:t>
      </w:r>
      <w:bookmarkEnd w:id="4"/>
      <w:r>
        <w:rPr>
          <w:rFonts w:hint="eastAsia" w:ascii="宋体" w:hAnsi="宋体" w:eastAsia="宋体"/>
          <w:sz w:val="21"/>
          <w:szCs w:val="21"/>
        </w:rPr>
        <w:t>。回归分析手术部位（1）、手术体位（1）、手术时长(1)的值差异显著（</w:t>
      </w:r>
      <w:r>
        <w:rPr>
          <w:rFonts w:hint="eastAsia" w:ascii="宋体" w:hAnsi="宋体" w:eastAsia="宋体"/>
          <w:i/>
          <w:iCs/>
          <w:sz w:val="21"/>
          <w:szCs w:val="21"/>
        </w:rPr>
        <w:t>P</w:t>
      </w:r>
      <w:r>
        <w:rPr>
          <w:rFonts w:hint="eastAsia" w:ascii="宋体" w:hAnsi="宋体" w:eastAsia="宋体"/>
          <w:sz w:val="21"/>
          <w:szCs w:val="21"/>
        </w:rPr>
        <w:t>＜0.005）。</w:t>
      </w:r>
      <w:r>
        <w:rPr>
          <w:rFonts w:hint="eastAsia" w:ascii="宋体" w:hAnsi="宋体" w:eastAsia="宋体"/>
          <w:b/>
          <w:bCs/>
          <w:sz w:val="21"/>
          <w:szCs w:val="21"/>
        </w:rPr>
        <w:t xml:space="preserve">结论 </w:t>
      </w:r>
      <w:r>
        <w:rPr>
          <w:rFonts w:hint="eastAsia" w:ascii="宋体" w:hAnsi="宋体" w:eastAsia="宋体"/>
          <w:sz w:val="21"/>
          <w:szCs w:val="21"/>
        </w:rPr>
        <w:t>手术部位为骶尾部、手术体位为俯卧位以及手术时长为3~4h在本研究中具有统计学显著性，</w:t>
      </w:r>
      <w:bookmarkStart w:id="5" w:name="_Hlk191141277"/>
      <w:r>
        <w:rPr>
          <w:rFonts w:hint="eastAsia" w:ascii="宋体" w:hAnsi="宋体" w:eastAsia="宋体"/>
          <w:sz w:val="21"/>
          <w:szCs w:val="21"/>
        </w:rPr>
        <w:t xml:space="preserve">且是骶骨瘤患者围术期大量输血的术前危险因素。 </w:t>
      </w:r>
    </w:p>
    <w:bookmarkEnd w:id="5"/>
    <w:p w14:paraId="780E80A4">
      <w:pPr>
        <w:rPr>
          <w:rFonts w:hint="eastAsia" w:ascii="宋体" w:hAnsi="宋体" w:eastAsia="宋体"/>
          <w:sz w:val="21"/>
          <w:szCs w:val="21"/>
        </w:rPr>
      </w:pPr>
      <w:r>
        <w:rPr>
          <w:rFonts w:hint="eastAsia" w:ascii="宋体" w:hAnsi="宋体" w:eastAsia="宋体"/>
          <w:sz w:val="21"/>
          <w:szCs w:val="21"/>
        </w:rPr>
        <w:t>关键词：骶骨肿瘤手术；围术期血液管理；大量输血：输血影响因素</w:t>
      </w:r>
      <w:bookmarkEnd w:id="1"/>
      <w:r>
        <w:rPr>
          <w:rFonts w:hint="eastAsia" w:ascii="宋体" w:hAnsi="宋体" w:eastAsia="宋体"/>
          <w:sz w:val="21"/>
          <w:szCs w:val="21"/>
        </w:rPr>
        <w:t xml:space="preserve"> </w:t>
      </w:r>
    </w:p>
    <w:p w14:paraId="7F604695">
      <w:pPr>
        <w:jc w:val="center"/>
        <w:rPr>
          <w:rFonts w:ascii="宋体" w:hAnsi="宋体" w:eastAsia="宋体"/>
          <w:sz w:val="28"/>
          <w:szCs w:val="28"/>
        </w:rPr>
      </w:pPr>
      <w:r>
        <w:rPr>
          <w:rFonts w:hint="eastAsia" w:ascii="宋体" w:hAnsi="宋体" w:eastAsia="宋体"/>
          <w:sz w:val="28"/>
          <w:szCs w:val="28"/>
        </w:rPr>
        <w:t>Preoperative Risk Factors Associated with Massive Blood Transfusion in Patients with Sacral Tumors During the Perioperative Period</w:t>
      </w:r>
    </w:p>
    <w:p w14:paraId="245DAB5E">
      <w:pPr>
        <w:jc w:val="center"/>
        <w:rPr>
          <w:rFonts w:ascii="宋体" w:hAnsi="宋体" w:eastAsia="宋体"/>
          <w:sz w:val="24"/>
        </w:rPr>
      </w:pPr>
      <w:r>
        <w:rPr>
          <w:rFonts w:hint="eastAsia" w:ascii="宋体" w:hAnsi="宋体" w:eastAsia="宋体"/>
          <w:sz w:val="24"/>
        </w:rPr>
        <w:t>Wu Guiyu, Liu Ying, Feng Xiaomin, WangChao, Xu Dongjiang (Department of Blood Transfusion, Beijing Jishuitan Hospital, Capital Medical University)</w:t>
      </w:r>
    </w:p>
    <w:p w14:paraId="76E63744">
      <w:pPr>
        <w:jc w:val="both"/>
        <w:rPr>
          <w:rFonts w:hint="eastAsia" w:ascii="宋体" w:hAnsi="宋体" w:eastAsia="宋体"/>
          <w:sz w:val="24"/>
        </w:rPr>
      </w:pPr>
      <w:r>
        <w:rPr>
          <w:rFonts w:ascii="宋体" w:hAnsi="宋体" w:eastAsia="宋体"/>
          <w:b/>
          <w:bCs/>
          <w:sz w:val="24"/>
        </w:rPr>
        <w:t>Abstract:</w:t>
      </w:r>
      <w:r>
        <w:rPr>
          <w:rFonts w:ascii="宋体" w:hAnsi="宋体" w:eastAsia="宋体"/>
          <w:sz w:val="24"/>
        </w:rPr>
        <w:t xml:space="preserve"> </w:t>
      </w:r>
      <w:r>
        <w:rPr>
          <w:rFonts w:ascii="宋体" w:hAnsi="宋体" w:eastAsia="宋体"/>
          <w:b/>
          <w:bCs/>
          <w:sz w:val="24"/>
        </w:rPr>
        <w:t>Objective:</w:t>
      </w:r>
      <w:r>
        <w:rPr>
          <w:rFonts w:ascii="宋体" w:hAnsi="宋体" w:eastAsia="宋体"/>
          <w:sz w:val="24"/>
        </w:rPr>
        <w:t xml:space="preserve"> To investigate the preoperative risk factors associated with massive blood transfusion during the perioperative period of sacral tumor surgery.</w:t>
      </w:r>
      <w:r>
        <w:rPr>
          <w:rFonts w:ascii="宋体" w:hAnsi="宋体" w:eastAsia="宋体"/>
          <w:b/>
          <w:bCs/>
          <w:sz w:val="24"/>
        </w:rPr>
        <w:t xml:space="preserve"> Methods: </w:t>
      </w:r>
      <w:r>
        <w:rPr>
          <w:rFonts w:ascii="宋体" w:hAnsi="宋体" w:eastAsia="宋体"/>
          <w:sz w:val="24"/>
        </w:rPr>
        <w:t xml:space="preserve">This retrospective study analyzed clinical data, including basic information and medical history, preoperative laboratory tests (complete blood count, coagulation function, liver function), and blood product types and quantities administered intraoperatively and within 24 hours postoperatively for 33 patients who underwent sacral tumor surgery at our hospital from September 2021 to September 2024. Patients were categorized into two groups based on the volume of red blood cell transfusions received during or within 24 hours after surgery: the massive transfusion group and the </w:t>
      </w:r>
      <w:bookmarkStart w:id="6" w:name="_Hlk191544112"/>
      <w:r>
        <w:rPr>
          <w:rFonts w:ascii="宋体" w:hAnsi="宋体" w:eastAsia="宋体"/>
          <w:sz w:val="24"/>
        </w:rPr>
        <w:t>non-massive transfusion group</w:t>
      </w:r>
      <w:bookmarkEnd w:id="6"/>
      <w:r>
        <w:rPr>
          <w:rFonts w:ascii="宋体" w:hAnsi="宋体" w:eastAsia="宋体"/>
          <w:sz w:val="24"/>
        </w:rPr>
        <w:t xml:space="preserve">. Univariate analysis was conducted on clinical data and preoperative laboratory tests, followed by multivariate logistic regression analysis for variables that showed statistical significance in univariate analysis. </w:t>
      </w:r>
      <w:r>
        <w:rPr>
          <w:rFonts w:ascii="宋体" w:hAnsi="宋体" w:eastAsia="宋体"/>
          <w:b/>
          <w:bCs/>
          <w:sz w:val="24"/>
        </w:rPr>
        <w:t>Results:</w:t>
      </w:r>
      <w:r>
        <w:rPr>
          <w:rFonts w:ascii="宋体" w:hAnsi="宋体" w:eastAsia="宋体"/>
          <w:sz w:val="24"/>
        </w:rPr>
        <w:t xml:space="preserve"> Univariate analysis revealed statistically significant differences between the two groups in fibrinogen (FIB), prothrombin time (PT), activated partial thromboplastin time (APTT), alanine aminotransferase (ALT), operation duration, surgical site, and surgical position (P &lt; 0.05). Multivariate regression analysis identified significant differences in surgical site, surgical position, and operation duration (P &lt; 0.005). </w:t>
      </w:r>
      <w:r>
        <w:rPr>
          <w:rFonts w:ascii="宋体" w:hAnsi="宋体" w:eastAsia="宋体"/>
          <w:b/>
          <w:bCs/>
          <w:sz w:val="24"/>
        </w:rPr>
        <w:t>Conclusion:</w:t>
      </w:r>
      <w:r>
        <w:rPr>
          <w:rFonts w:ascii="宋体" w:hAnsi="宋体" w:eastAsia="宋体"/>
          <w:sz w:val="24"/>
        </w:rPr>
        <w:t xml:space="preserve"> The findings indicate that a surgical site at the sacrococcygeal region, a prone surgical position, and an operation duration of 3-4 hours are statistically significant preoperative risk factors for massive blood transfusion in patients undergoing sacral tumor surgery.</w:t>
      </w:r>
    </w:p>
    <w:p w14:paraId="79759563">
      <w:pPr>
        <w:rPr>
          <w:rFonts w:hint="eastAsia" w:ascii="宋体" w:hAnsi="宋体" w:eastAsia="宋体"/>
          <w:sz w:val="21"/>
          <w:szCs w:val="21"/>
        </w:rPr>
      </w:pPr>
      <w:r>
        <w:rPr>
          <w:rFonts w:hint="eastAsia" w:ascii="宋体" w:hAnsi="宋体" w:eastAsia="宋体"/>
          <w:b/>
          <w:bCs/>
          <w:sz w:val="21"/>
          <w:szCs w:val="21"/>
        </w:rPr>
        <w:t>Key words:</w:t>
      </w:r>
      <w:r>
        <w:rPr>
          <w:rFonts w:hint="eastAsia" w:ascii="宋体" w:hAnsi="宋体" w:eastAsia="宋体"/>
          <w:sz w:val="21"/>
          <w:szCs w:val="21"/>
        </w:rPr>
        <w:t xml:space="preserve"> sacral tumor surgery; Perioperative blood management; Massive blood transfusion: influencing factors of blood transfusion</w:t>
      </w:r>
    </w:p>
    <w:p w14:paraId="5CBE1F25">
      <w:pPr>
        <w:ind w:firstLine="480" w:firstLineChars="200"/>
        <w:rPr>
          <w:rFonts w:hint="eastAsia" w:ascii="宋体" w:hAnsi="宋体" w:eastAsia="宋体"/>
          <w:sz w:val="24"/>
        </w:rPr>
      </w:pPr>
      <w:r>
        <w:rPr>
          <w:rFonts w:hint="eastAsia" w:ascii="宋体" w:hAnsi="宋体" w:eastAsia="宋体"/>
          <w:sz w:val="24"/>
        </w:rPr>
        <w:t xml:space="preserve"> 骶骨区域常见的良性肿瘤类型包括骨母细胞瘤、骨巨细胞瘤以及动脉瘤样骨囊肿等，而恶性肿瘤则主要有脊索瘤、软骨瘤等。对于骶骨脊索瘤的治疗，广泛切除以确保安全的外科边界是当前的主流方法。然而，由于对肿瘤边界认知的不足、局部解剖结构的复杂性以及术中可能的大量失血等多重因素，骶骨肿瘤切除手术的精确性往往会受到一定程度的影响</w:t>
      </w:r>
      <w:r>
        <w:rPr>
          <w:rFonts w:hint="eastAsia" w:ascii="宋体" w:hAnsi="宋体" w:eastAsia="宋体"/>
          <w:sz w:val="24"/>
          <w:vertAlign w:val="superscript"/>
        </w:rPr>
        <w:t>[1]</w:t>
      </w:r>
      <w:r>
        <w:rPr>
          <w:rFonts w:hint="eastAsia" w:ascii="宋体" w:hAnsi="宋体" w:eastAsia="宋体"/>
          <w:sz w:val="24"/>
        </w:rPr>
        <w:t>。此外，骶骨肿瘤在早期阶段往往难以察觉，其侵袭性强、解剖位置复杂且血运丰富，这些因素共同导致了手术难度的大幅增加</w:t>
      </w:r>
      <w:r>
        <w:rPr>
          <w:rFonts w:hint="eastAsia" w:ascii="宋体" w:hAnsi="宋体" w:eastAsia="宋体"/>
          <w:sz w:val="24"/>
          <w:vertAlign w:val="superscript"/>
        </w:rPr>
        <w:t>[2]</w:t>
      </w:r>
      <w:r>
        <w:rPr>
          <w:rFonts w:hint="eastAsia" w:ascii="宋体" w:hAnsi="宋体" w:eastAsia="宋体"/>
          <w:sz w:val="24"/>
        </w:rPr>
        <w:t>。目前，国内外关于骶骨肿瘤用血分析的相关报道仍较为罕见。本文基于33例骶骨瘤患者的临床资料，结合术前相关实验室检查及围手术期输血量的统计数据，进行了深入的分析，旨在筛选出骶骨瘤患者围手术期大量输血的术前危险因素。这不仅有助于临床医生识别出可能需要大量输血的高危患者，还为麻醉科医生制定输血策略及实施积极干预提供了有力的依据。</w:t>
      </w:r>
    </w:p>
    <w:p w14:paraId="5843E076">
      <w:pPr>
        <w:rPr>
          <w:rFonts w:hint="eastAsia" w:ascii="宋体" w:hAnsi="宋体" w:eastAsia="宋体"/>
          <w:b/>
          <w:bCs/>
          <w:sz w:val="24"/>
        </w:rPr>
      </w:pPr>
      <w:r>
        <w:rPr>
          <w:rFonts w:hint="eastAsia" w:ascii="宋体" w:hAnsi="宋体" w:eastAsia="宋体"/>
          <w:b/>
          <w:bCs/>
          <w:sz w:val="24"/>
        </w:rPr>
        <w:t>1 材料与方法</w:t>
      </w:r>
    </w:p>
    <w:p w14:paraId="2E6FF3E7">
      <w:pPr>
        <w:pStyle w:val="31"/>
        <w:numPr>
          <w:ilvl w:val="1"/>
          <w:numId w:val="1"/>
        </w:numPr>
        <w:rPr>
          <w:rFonts w:hint="eastAsia" w:ascii="宋体" w:hAnsi="宋体" w:eastAsia="宋体"/>
          <w:b/>
          <w:bCs/>
          <w:sz w:val="24"/>
        </w:rPr>
      </w:pPr>
      <w:r>
        <w:rPr>
          <w:rFonts w:hint="eastAsia" w:ascii="宋体" w:hAnsi="宋体" w:eastAsia="宋体"/>
          <w:b/>
          <w:bCs/>
          <w:sz w:val="24"/>
        </w:rPr>
        <w:t>一般资料</w:t>
      </w:r>
    </w:p>
    <w:p w14:paraId="79F22F7D">
      <w:pPr>
        <w:ind w:firstLine="480" w:firstLineChars="200"/>
        <w:rPr>
          <w:rFonts w:hint="eastAsia" w:ascii="宋体" w:hAnsi="宋体" w:eastAsia="宋体"/>
          <w:sz w:val="24"/>
        </w:rPr>
      </w:pPr>
      <w:bookmarkStart w:id="7" w:name="OLE_LINK11"/>
      <w:r>
        <w:rPr>
          <w:rFonts w:hint="eastAsia" w:ascii="宋体" w:hAnsi="宋体" w:eastAsia="宋体"/>
          <w:sz w:val="24"/>
        </w:rPr>
        <w:t>收集2021年9月~ 2024年9月的骶骨瘤手术33例骶骨瘤手术患者临床资料。纳入标准:诊断为骶骨瘤并行开放性手术患者;排除标准:(1)术中、术后不能统计血液制品使用情况的患者;(2)资料收集不完全的患者。</w:t>
      </w:r>
    </w:p>
    <w:bookmarkEnd w:id="7"/>
    <w:p w14:paraId="6CB42E64">
      <w:pPr>
        <w:rPr>
          <w:rFonts w:hint="eastAsia" w:ascii="宋体" w:hAnsi="宋体" w:eastAsia="宋体"/>
          <w:sz w:val="24"/>
        </w:rPr>
      </w:pPr>
      <w:r>
        <w:rPr>
          <w:rFonts w:hint="eastAsia" w:ascii="宋体" w:hAnsi="宋体" w:eastAsia="宋体"/>
          <w:sz w:val="24"/>
        </w:rPr>
        <w:t>1.2方法 统计患者性别，年龄，术前血红蛋白（Hb）(g/L),术前红细胞压积（Hct）(%),凝血酶原时间(PT)、活化部分凝血酶原时间（APTT）,</w:t>
      </w:r>
      <w:bookmarkStart w:id="8" w:name="_Hlk188207970"/>
      <w:r>
        <w:rPr>
          <w:rFonts w:hint="eastAsia" w:ascii="宋体" w:hAnsi="宋体" w:eastAsia="宋体"/>
          <w:sz w:val="24"/>
        </w:rPr>
        <w:t>丙氨酸氨基转移酶酶(ALT)</w:t>
      </w:r>
      <w:bookmarkEnd w:id="8"/>
      <w:r>
        <w:rPr>
          <w:rFonts w:hint="eastAsia" w:ascii="宋体" w:hAnsi="宋体" w:eastAsia="宋体"/>
          <w:sz w:val="24"/>
        </w:rPr>
        <w:t>，术前纤维蛋白原（FIB）(mg/dL)、发病位置、肿瘤类型、是否有其他高危因素，手术体位，手术部位，手术方式、手术分级、麻醉分级、手术时长(h)、术中出血量(mL)等。对所有数据进行整理分析，根据术中，术后红细胞输注量对研究对象进行分组，以术中红细胞输注量≥4U（200mL红细胞为1U）或术后24h红细胞输注量≥5U为标准，分为大量输血组（</w:t>
      </w:r>
      <w:bookmarkStart w:id="9" w:name="_Hlk191544175"/>
      <w:r>
        <w:rPr>
          <w:rFonts w:ascii="宋体" w:hAnsi="宋体" w:eastAsia="宋体"/>
          <w:sz w:val="24"/>
        </w:rPr>
        <w:t>Massive Blood Transfusion Group</w:t>
      </w:r>
      <w:bookmarkEnd w:id="9"/>
      <w:r>
        <w:rPr>
          <w:rFonts w:hint="eastAsia" w:ascii="宋体" w:hAnsi="宋体" w:eastAsia="宋体"/>
          <w:sz w:val="24"/>
        </w:rPr>
        <w:t xml:space="preserve"> </w:t>
      </w:r>
      <w:bookmarkStart w:id="10" w:name="_Hlk191544193"/>
      <w:r>
        <w:rPr>
          <w:rFonts w:hint="eastAsia" w:ascii="宋体" w:hAnsi="宋体" w:eastAsia="宋体"/>
          <w:sz w:val="24"/>
        </w:rPr>
        <w:t>简称</w:t>
      </w:r>
      <w:bookmarkEnd w:id="10"/>
      <w:r>
        <w:rPr>
          <w:rFonts w:hint="eastAsia" w:ascii="宋体" w:hAnsi="宋体" w:eastAsia="宋体"/>
          <w:sz w:val="24"/>
        </w:rPr>
        <w:t>MBT组）和红细胞注量＜4U分为非大量输血组（Non-</w:t>
      </w:r>
      <w:r>
        <w:rPr>
          <w:rFonts w:hint="eastAsia"/>
        </w:rPr>
        <w:t xml:space="preserve"> </w:t>
      </w:r>
      <w:r>
        <w:rPr>
          <w:rFonts w:hint="eastAsia" w:ascii="宋体" w:hAnsi="宋体" w:eastAsia="宋体"/>
          <w:sz w:val="24"/>
        </w:rPr>
        <w:t>Massive Blood Transfusion Group简称NMBT组）。</w:t>
      </w:r>
    </w:p>
    <w:p w14:paraId="78EE517E">
      <w:pPr>
        <w:rPr>
          <w:rFonts w:hint="eastAsia" w:ascii="宋体" w:hAnsi="宋体" w:eastAsia="宋体"/>
          <w:sz w:val="24"/>
        </w:rPr>
      </w:pPr>
      <w:r>
        <w:rPr>
          <w:rFonts w:hint="eastAsia" w:ascii="宋体" w:hAnsi="宋体" w:eastAsia="宋体"/>
          <w:sz w:val="24"/>
        </w:rPr>
        <w:t xml:space="preserve">1.3 </w:t>
      </w:r>
      <w:r>
        <w:rPr>
          <w:rFonts w:ascii="宋体" w:hAnsi="宋体" w:eastAsia="宋体"/>
          <w:sz w:val="24"/>
        </w:rPr>
        <w:t xml:space="preserve">采用 SPSS20.0 软件进行数据统计,符合正态分布的计量资料以 x ±s 表示,采用 t 检验;不符合正态分布的计量资料以 M (Q 1 ,Q 3 )表示,采用秩和检验。 计数资料以例数或百分比表示,采用 </w:t>
      </w:r>
      <w:r>
        <w:rPr>
          <w:rFonts w:hint="eastAsia" w:ascii="宋体" w:hAnsi="宋体" w:eastAsia="宋体"/>
          <w:sz w:val="24"/>
        </w:rPr>
        <w:t>X</w:t>
      </w:r>
      <w:r>
        <w:rPr>
          <w:rFonts w:hint="eastAsia" w:ascii="宋体" w:hAnsi="宋体" w:eastAsia="宋体"/>
          <w:sz w:val="24"/>
          <w:vertAlign w:val="superscript"/>
        </w:rPr>
        <w:t>2</w:t>
      </w:r>
      <w:r>
        <w:rPr>
          <w:rFonts w:ascii="宋体" w:hAnsi="宋体" w:eastAsia="宋体"/>
          <w:sz w:val="24"/>
        </w:rPr>
        <w:t xml:space="preserve"> 检验。首先用单因素分析对各观察项目(自变量)进行统计分析, 后对有统计学意义的变量及相关因素进行多因素 logistic 回归分析。以</w:t>
      </w:r>
      <w:r>
        <w:rPr>
          <w:rFonts w:hint="eastAsia" w:ascii="宋体" w:hAnsi="宋体" w:eastAsia="宋体"/>
          <w:sz w:val="24"/>
        </w:rPr>
        <w:t>（</w:t>
      </w:r>
      <w:r>
        <w:rPr>
          <w:rFonts w:hint="eastAsia" w:ascii="宋体" w:hAnsi="宋体" w:eastAsia="宋体"/>
          <w:i/>
          <w:iCs/>
          <w:sz w:val="24"/>
        </w:rPr>
        <w:t>P</w:t>
      </w:r>
      <w:r>
        <w:rPr>
          <w:rFonts w:hint="eastAsia" w:ascii="宋体" w:hAnsi="宋体" w:eastAsia="宋体"/>
          <w:sz w:val="24"/>
        </w:rPr>
        <w:t>＜0.05）</w:t>
      </w:r>
      <w:r>
        <w:rPr>
          <w:rFonts w:ascii="宋体" w:hAnsi="宋体" w:eastAsia="宋体"/>
          <w:sz w:val="24"/>
        </w:rPr>
        <w:t>为差异有统计学意义</w:t>
      </w:r>
    </w:p>
    <w:p w14:paraId="603C7AF1">
      <w:pPr>
        <w:rPr>
          <w:rFonts w:hint="eastAsia" w:ascii="宋体" w:hAnsi="宋体" w:eastAsia="宋体"/>
          <w:b/>
          <w:bCs/>
          <w:sz w:val="24"/>
        </w:rPr>
      </w:pPr>
      <w:r>
        <w:rPr>
          <w:rFonts w:hint="eastAsia" w:ascii="宋体" w:hAnsi="宋体" w:eastAsia="宋体"/>
          <w:b/>
          <w:bCs/>
          <w:sz w:val="24"/>
        </w:rPr>
        <w:t>2 结果</w:t>
      </w:r>
    </w:p>
    <w:p w14:paraId="68EC2A55">
      <w:pPr>
        <w:rPr>
          <w:rFonts w:hint="eastAsia" w:ascii="宋体" w:hAnsi="宋体" w:eastAsia="宋体"/>
          <w:b/>
          <w:bCs/>
          <w:sz w:val="24"/>
        </w:rPr>
      </w:pPr>
      <w:r>
        <w:rPr>
          <w:rFonts w:hint="eastAsia" w:ascii="宋体" w:hAnsi="宋体" w:eastAsia="宋体"/>
          <w:b/>
          <w:bCs/>
          <w:sz w:val="24"/>
        </w:rPr>
        <w:t>2.1 一般资料</w:t>
      </w:r>
    </w:p>
    <w:p w14:paraId="77998962">
      <w:pPr>
        <w:rPr>
          <w:rFonts w:hint="eastAsia" w:ascii="宋体" w:hAnsi="宋体" w:eastAsia="宋体"/>
          <w:sz w:val="24"/>
        </w:rPr>
      </w:pPr>
      <w:r>
        <w:rPr>
          <w:rFonts w:hint="eastAsia" w:ascii="宋体" w:hAnsi="宋体" w:eastAsia="宋体"/>
          <w:sz w:val="24"/>
        </w:rPr>
        <w:t xml:space="preserve">  51例诊断为骶骨瘤行手术的患者，排除不能统计的血液制品使用情况和资料收集不完全者1例，剩余33例。将33例患者分为MBT组（n=20）和NMBT组（n=13）。具体内容见表1.</w:t>
      </w:r>
    </w:p>
    <w:p w14:paraId="236AFE2D">
      <w:pPr>
        <w:rPr>
          <w:rFonts w:hint="eastAsia" w:ascii="宋体" w:hAnsi="宋体" w:eastAsia="宋体"/>
          <w:b/>
          <w:bCs/>
          <w:sz w:val="24"/>
        </w:rPr>
      </w:pPr>
      <w:r>
        <w:rPr>
          <w:rFonts w:hint="eastAsia" w:ascii="宋体" w:hAnsi="宋体" w:eastAsia="宋体"/>
          <w:b/>
          <w:bCs/>
          <w:sz w:val="24"/>
        </w:rPr>
        <w:t>2.2单因素分析</w:t>
      </w:r>
    </w:p>
    <w:p w14:paraId="25D7054E">
      <w:pPr>
        <w:rPr>
          <w:rFonts w:hint="eastAsia" w:ascii="宋体" w:hAnsi="宋体" w:eastAsia="宋体"/>
          <w:sz w:val="24"/>
        </w:rPr>
      </w:pPr>
      <w:r>
        <w:rPr>
          <w:rFonts w:hint="eastAsia" w:ascii="宋体" w:hAnsi="宋体" w:eastAsia="宋体"/>
          <w:sz w:val="24"/>
        </w:rPr>
        <w:t>2.2.1 连续性变量</w:t>
      </w:r>
    </w:p>
    <w:p w14:paraId="3E135637">
      <w:pPr>
        <w:rPr>
          <w:rFonts w:hint="eastAsia" w:ascii="宋体" w:hAnsi="宋体" w:eastAsia="宋体"/>
          <w:sz w:val="24"/>
        </w:rPr>
      </w:pPr>
      <w:r>
        <w:rPr>
          <w:rFonts w:hint="eastAsia" w:ascii="宋体" w:hAnsi="宋体" w:eastAsia="宋体"/>
          <w:sz w:val="24"/>
        </w:rPr>
        <w:t xml:space="preserve">   </w:t>
      </w:r>
      <w:bookmarkStart w:id="11" w:name="OLE_LINK3"/>
      <w:r>
        <w:rPr>
          <w:rFonts w:hint="eastAsia" w:ascii="宋体" w:hAnsi="宋体" w:eastAsia="宋体"/>
          <w:sz w:val="24"/>
        </w:rPr>
        <w:t>两组患者的纤维蛋白原（FIB）、凝血酶原时间（PT）、活化部分凝血酶原时间（APTT）、</w:t>
      </w:r>
      <w:r>
        <w:rPr>
          <w:rFonts w:hint="eastAsia"/>
        </w:rPr>
        <w:t xml:space="preserve"> </w:t>
      </w:r>
      <w:r>
        <w:rPr>
          <w:rFonts w:hint="eastAsia" w:ascii="宋体" w:hAnsi="宋体" w:eastAsia="宋体"/>
          <w:sz w:val="24"/>
        </w:rPr>
        <w:t>丙氨酸氨基转移酶酶(ALT)、手术时长差的异有统计学意义</w:t>
      </w:r>
      <w:bookmarkStart w:id="12" w:name="_Hlk188209175"/>
      <w:r>
        <w:rPr>
          <w:rFonts w:hint="eastAsia" w:ascii="宋体" w:hAnsi="宋体" w:eastAsia="宋体"/>
          <w:sz w:val="24"/>
        </w:rPr>
        <w:t>（</w:t>
      </w:r>
      <w:r>
        <w:rPr>
          <w:rFonts w:hint="eastAsia" w:ascii="宋体" w:hAnsi="宋体" w:eastAsia="宋体"/>
          <w:i/>
          <w:iCs/>
          <w:sz w:val="24"/>
        </w:rPr>
        <w:t>P＜0.05</w:t>
      </w:r>
      <w:r>
        <w:rPr>
          <w:rFonts w:hint="eastAsia" w:ascii="宋体" w:hAnsi="宋体" w:eastAsia="宋体"/>
          <w:sz w:val="24"/>
        </w:rPr>
        <w:t>）</w:t>
      </w:r>
      <w:bookmarkEnd w:id="11"/>
      <w:r>
        <w:rPr>
          <w:rFonts w:hint="eastAsia" w:ascii="宋体" w:hAnsi="宋体" w:eastAsia="宋体"/>
          <w:sz w:val="24"/>
        </w:rPr>
        <w:t>，见表1。</w:t>
      </w:r>
      <w:bookmarkEnd w:id="12"/>
    </w:p>
    <w:p w14:paraId="3429EC2C">
      <w:pPr>
        <w:keepNext/>
        <w:widowControl/>
        <w:jc w:val="center"/>
        <w:rPr>
          <w:rFonts w:hint="eastAsia" w:ascii="宋体" w:hAnsi="宋体" w:eastAsia="宋体"/>
          <w:sz w:val="24"/>
        </w:rPr>
      </w:pPr>
      <w:r>
        <w:rPr>
          <w:rFonts w:hint="eastAsia" w:ascii="宋体" w:hAnsi="宋体" w:eastAsia="宋体"/>
          <w:b/>
          <w:bCs/>
          <w:sz w:val="21"/>
          <w:szCs w:val="21"/>
        </w:rPr>
        <w:t>表1   两组患者连续性变量的比较</w:t>
      </w:r>
      <w:r>
        <w:rPr>
          <w:rFonts w:hint="eastAsia" w:ascii="宋体" w:hAnsi="宋体" w:eastAsia="宋体"/>
          <w:b/>
          <w:bCs/>
          <w:sz w:val="21"/>
          <w:szCs w:val="21"/>
        </w:rPr>
        <w:fldChar w:fldCharType="begin"/>
      </w:r>
      <w:r>
        <w:rPr>
          <w:rFonts w:hint="eastAsia" w:ascii="宋体" w:hAnsi="宋体" w:eastAsia="宋体"/>
          <w:b/>
          <w:bCs/>
          <w:sz w:val="21"/>
          <w:szCs w:val="21"/>
        </w:rPr>
        <w:instrText xml:space="preserve"> LINK Excel.Sheet.12 C:\\Users\\thinkpad\\Desktop\\T和P.xlsx Sheet1!R53C2:R64C5 \a \f 4 \h  \* MERGEFORMAT </w:instrText>
      </w:r>
      <w:r>
        <w:rPr>
          <w:rFonts w:hint="eastAsia" w:ascii="宋体" w:hAnsi="宋体" w:eastAsia="宋体"/>
          <w:b/>
          <w:bCs/>
          <w:sz w:val="21"/>
          <w:szCs w:val="21"/>
        </w:rPr>
        <w:fldChar w:fldCharType="separate"/>
      </w:r>
    </w:p>
    <w:tbl>
      <w:tblPr>
        <w:tblStyle w:val="16"/>
        <w:tblW w:w="8265" w:type="dxa"/>
        <w:tblInd w:w="0" w:type="dxa"/>
        <w:tblLayout w:type="fixed"/>
        <w:tblCellMar>
          <w:top w:w="0" w:type="dxa"/>
          <w:left w:w="108" w:type="dxa"/>
          <w:bottom w:w="0" w:type="dxa"/>
          <w:right w:w="108" w:type="dxa"/>
        </w:tblCellMar>
      </w:tblPr>
      <w:tblGrid>
        <w:gridCol w:w="2268"/>
        <w:gridCol w:w="2277"/>
        <w:gridCol w:w="2020"/>
        <w:gridCol w:w="1700"/>
      </w:tblGrid>
      <w:tr w14:paraId="2CA10586">
        <w:tblPrEx>
          <w:tblLayout w:type="fixed"/>
        </w:tblPrEx>
        <w:trPr>
          <w:trHeight w:val="280" w:hRule="atLeast"/>
        </w:trPr>
        <w:tc>
          <w:tcPr>
            <w:tcW w:w="2268" w:type="dxa"/>
            <w:tcBorders>
              <w:top w:val="single" w:color="auto" w:sz="4" w:space="0"/>
              <w:left w:val="nil"/>
              <w:bottom w:val="nil"/>
              <w:right w:val="nil"/>
            </w:tcBorders>
            <w:shd w:val="clear" w:color="auto" w:fill="auto"/>
            <w:vAlign w:val="bottom"/>
          </w:tcPr>
          <w:p w14:paraId="4536149A">
            <w:pPr>
              <w:keepNext/>
              <w:widowControl/>
              <w:jc w:val="center"/>
              <w:rPr>
                <w:rFonts w:hint="eastAsia" w:ascii="等线" w:hAnsi="等线" w:eastAsia="等线" w:cs="宋体"/>
                <w:color w:val="000000"/>
                <w:kern w:val="0"/>
                <w:szCs w:val="22"/>
                <w14:ligatures w14:val="none"/>
              </w:rPr>
            </w:pPr>
          </w:p>
        </w:tc>
        <w:tc>
          <w:tcPr>
            <w:tcW w:w="2277" w:type="dxa"/>
            <w:tcBorders>
              <w:top w:val="single" w:color="auto" w:sz="4" w:space="0"/>
              <w:left w:val="nil"/>
              <w:bottom w:val="nil"/>
              <w:right w:val="nil"/>
            </w:tcBorders>
            <w:shd w:val="clear" w:color="auto" w:fill="auto"/>
            <w:vAlign w:val="center"/>
          </w:tcPr>
          <w:p w14:paraId="46C13515">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w:t>
            </w:r>
            <w:r>
              <w:rPr>
                <w:rFonts w:hint="eastAsia" w:ascii="等线" w:hAnsi="等线" w:eastAsia="等线" w:cs="宋体"/>
                <w:color w:val="000000"/>
                <w:kern w:val="0"/>
                <w:szCs w:val="22"/>
                <w14:ligatures w14:val="none"/>
              </w:rPr>
              <w:t>MBT</w:t>
            </w:r>
          </w:p>
        </w:tc>
        <w:tc>
          <w:tcPr>
            <w:tcW w:w="2020" w:type="dxa"/>
            <w:tcBorders>
              <w:top w:val="single" w:color="auto" w:sz="4" w:space="0"/>
              <w:left w:val="nil"/>
              <w:bottom w:val="nil"/>
              <w:right w:val="nil"/>
            </w:tcBorders>
            <w:shd w:val="clear" w:color="auto" w:fill="auto"/>
            <w:vAlign w:val="center"/>
          </w:tcPr>
          <w:p w14:paraId="7D1E37FF">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MBT</w:t>
            </w:r>
          </w:p>
        </w:tc>
        <w:tc>
          <w:tcPr>
            <w:tcW w:w="1700" w:type="dxa"/>
            <w:tcBorders>
              <w:top w:val="single" w:color="auto" w:sz="4" w:space="0"/>
              <w:left w:val="nil"/>
              <w:bottom w:val="nil"/>
              <w:right w:val="nil"/>
            </w:tcBorders>
            <w:shd w:val="clear" w:color="auto" w:fill="auto"/>
            <w:vAlign w:val="center"/>
          </w:tcPr>
          <w:p w14:paraId="0B573BE2">
            <w:pPr>
              <w:keepNext/>
              <w:widowControl/>
              <w:spacing w:after="0" w:line="240" w:lineRule="auto"/>
              <w:jc w:val="center"/>
              <w:rPr>
                <w:rFonts w:hint="eastAsia" w:ascii="等线" w:hAnsi="等线" w:eastAsia="等线" w:cs="宋体"/>
                <w:color w:val="000000"/>
                <w:kern w:val="0"/>
                <w:szCs w:val="22"/>
                <w14:ligatures w14:val="none"/>
              </w:rPr>
            </w:pPr>
          </w:p>
        </w:tc>
      </w:tr>
      <w:tr w14:paraId="0DD12D97">
        <w:tblPrEx>
          <w:tblLayout w:type="fixed"/>
        </w:tblPrEx>
        <w:trPr>
          <w:trHeight w:val="280" w:hRule="atLeast"/>
        </w:trPr>
        <w:tc>
          <w:tcPr>
            <w:tcW w:w="2268" w:type="dxa"/>
            <w:tcBorders>
              <w:top w:val="nil"/>
              <w:left w:val="nil"/>
              <w:bottom w:val="single" w:color="auto" w:sz="4" w:space="0"/>
              <w:right w:val="nil"/>
            </w:tcBorders>
            <w:shd w:val="clear" w:color="auto" w:fill="auto"/>
            <w:vAlign w:val="bottom"/>
          </w:tcPr>
          <w:p w14:paraId="385DB6E7">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项目</w:t>
            </w:r>
          </w:p>
        </w:tc>
        <w:tc>
          <w:tcPr>
            <w:tcW w:w="2277" w:type="dxa"/>
            <w:tcBorders>
              <w:top w:val="nil"/>
              <w:left w:val="nil"/>
              <w:bottom w:val="single" w:color="auto" w:sz="4" w:space="0"/>
              <w:right w:val="nil"/>
            </w:tcBorders>
            <w:shd w:val="clear" w:color="auto" w:fill="auto"/>
            <w:vAlign w:val="center"/>
          </w:tcPr>
          <w:p w14:paraId="7E3E91DB">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（n=13)</w:t>
            </w:r>
          </w:p>
        </w:tc>
        <w:tc>
          <w:tcPr>
            <w:tcW w:w="2020" w:type="dxa"/>
            <w:tcBorders>
              <w:top w:val="nil"/>
              <w:left w:val="nil"/>
              <w:bottom w:val="single" w:color="auto" w:sz="4" w:space="0"/>
              <w:right w:val="nil"/>
            </w:tcBorders>
            <w:shd w:val="clear" w:color="auto" w:fill="auto"/>
            <w:vAlign w:val="center"/>
          </w:tcPr>
          <w:p w14:paraId="416E8BE0">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(n=20)</w:t>
            </w:r>
          </w:p>
        </w:tc>
        <w:tc>
          <w:tcPr>
            <w:tcW w:w="1700" w:type="dxa"/>
            <w:tcBorders>
              <w:top w:val="nil"/>
              <w:left w:val="nil"/>
              <w:bottom w:val="single" w:color="auto" w:sz="4" w:space="0"/>
              <w:right w:val="nil"/>
            </w:tcBorders>
            <w:shd w:val="clear" w:color="auto" w:fill="auto"/>
            <w:vAlign w:val="center"/>
          </w:tcPr>
          <w:p w14:paraId="48F8DA07">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i/>
                <w:iCs/>
                <w:color w:val="000000"/>
                <w:kern w:val="0"/>
                <w:szCs w:val="22"/>
                <w14:ligatures w14:val="none"/>
              </w:rPr>
              <w:t>P</w:t>
            </w:r>
          </w:p>
        </w:tc>
      </w:tr>
      <w:tr w14:paraId="337F7641">
        <w:tblPrEx>
          <w:tblLayout w:type="fixed"/>
        </w:tblPrEx>
        <w:trPr>
          <w:trHeight w:val="280" w:hRule="atLeast"/>
        </w:trPr>
        <w:tc>
          <w:tcPr>
            <w:tcW w:w="2268" w:type="dxa"/>
            <w:tcBorders>
              <w:top w:val="nil"/>
              <w:left w:val="nil"/>
              <w:bottom w:val="nil"/>
              <w:right w:val="nil"/>
            </w:tcBorders>
            <w:shd w:val="clear" w:color="auto" w:fill="auto"/>
            <w:vAlign w:val="bottom"/>
          </w:tcPr>
          <w:p w14:paraId="2CCEB4AD">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年龄</w:t>
            </w:r>
            <w:r>
              <w:rPr>
                <w:rFonts w:hint="eastAsia" w:ascii="等线" w:hAnsi="等线" w:eastAsia="等线" w:cs="宋体"/>
                <w:color w:val="000000"/>
                <w:kern w:val="0"/>
                <w:szCs w:val="22"/>
                <w14:ligatures w14:val="none"/>
              </w:rPr>
              <w:t>（岁）</w:t>
            </w:r>
            <w:r>
              <w:rPr>
                <w:rFonts w:hint="eastAsia" w:ascii="等线" w:hAnsi="等线" w:eastAsia="等线" w:cs="宋体"/>
                <w:color w:val="000000"/>
                <w:kern w:val="0"/>
                <w:szCs w:val="22"/>
                <w:vertAlign w:val="superscript"/>
                <w14:ligatures w14:val="none"/>
              </w:rPr>
              <w:t>a</w:t>
            </w:r>
          </w:p>
        </w:tc>
        <w:tc>
          <w:tcPr>
            <w:tcW w:w="2277" w:type="dxa"/>
            <w:tcBorders>
              <w:top w:val="nil"/>
              <w:left w:val="nil"/>
              <w:bottom w:val="nil"/>
              <w:right w:val="nil"/>
            </w:tcBorders>
            <w:shd w:val="clear" w:color="auto" w:fill="auto"/>
            <w:vAlign w:val="center"/>
          </w:tcPr>
          <w:p w14:paraId="10F61AE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45.00(31.00,58.50)</w:t>
            </w:r>
          </w:p>
        </w:tc>
        <w:tc>
          <w:tcPr>
            <w:tcW w:w="2020" w:type="dxa"/>
            <w:tcBorders>
              <w:top w:val="nil"/>
              <w:left w:val="nil"/>
              <w:bottom w:val="nil"/>
              <w:right w:val="nil"/>
            </w:tcBorders>
            <w:shd w:val="clear" w:color="auto" w:fill="auto"/>
            <w:vAlign w:val="center"/>
          </w:tcPr>
          <w:p w14:paraId="4C71EEE6">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39.5(32.5,65.0)</w:t>
            </w:r>
          </w:p>
        </w:tc>
        <w:tc>
          <w:tcPr>
            <w:tcW w:w="1700" w:type="dxa"/>
            <w:tcBorders>
              <w:top w:val="nil"/>
              <w:left w:val="nil"/>
              <w:bottom w:val="nil"/>
              <w:right w:val="nil"/>
            </w:tcBorders>
            <w:shd w:val="clear" w:color="auto" w:fill="auto"/>
            <w:vAlign w:val="center"/>
          </w:tcPr>
          <w:p w14:paraId="49E6BA22">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0.976</w:t>
            </w:r>
          </w:p>
        </w:tc>
      </w:tr>
      <w:tr w14:paraId="5F7EB5C5">
        <w:tblPrEx>
          <w:tblLayout w:type="fixed"/>
        </w:tblPrEx>
        <w:trPr>
          <w:trHeight w:val="280" w:hRule="atLeast"/>
        </w:trPr>
        <w:tc>
          <w:tcPr>
            <w:tcW w:w="2268" w:type="dxa"/>
            <w:tcBorders>
              <w:top w:val="nil"/>
              <w:left w:val="nil"/>
              <w:bottom w:val="nil"/>
              <w:right w:val="nil"/>
            </w:tcBorders>
            <w:shd w:val="clear" w:color="auto" w:fill="auto"/>
            <w:vAlign w:val="bottom"/>
          </w:tcPr>
          <w:p w14:paraId="3BE87587">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RBC(×10</w:t>
            </w:r>
            <w:r>
              <w:rPr>
                <w:rFonts w:hint="eastAsia" w:ascii="等线" w:hAnsi="等线" w:eastAsia="等线" w:cs="宋体"/>
                <w:color w:val="000000"/>
                <w:kern w:val="0"/>
                <w:szCs w:val="22"/>
                <w:vertAlign w:val="superscript"/>
                <w14:ligatures w14:val="none"/>
              </w:rPr>
              <w:t>12</w:t>
            </w:r>
            <w:r>
              <w:rPr>
                <w:rFonts w:hint="eastAsia" w:ascii="等线" w:hAnsi="等线" w:eastAsia="等线" w:cs="宋体"/>
                <w:color w:val="000000"/>
                <w:kern w:val="0"/>
                <w:szCs w:val="22"/>
                <w14:ligatures w14:val="none"/>
              </w:rPr>
              <w:t>/L)</w:t>
            </w:r>
            <w:r>
              <w:rPr>
                <w:rFonts w:hint="eastAsia" w:ascii="等线" w:hAnsi="等线" w:eastAsia="等线" w:cs="宋体"/>
                <w:color w:val="000000"/>
                <w:kern w:val="0"/>
                <w:szCs w:val="22"/>
                <w:vertAlign w:val="superscript"/>
                <w14:ligatures w14:val="none"/>
              </w:rPr>
              <w:t>a</w:t>
            </w:r>
          </w:p>
        </w:tc>
        <w:tc>
          <w:tcPr>
            <w:tcW w:w="2277" w:type="dxa"/>
            <w:tcBorders>
              <w:top w:val="nil"/>
              <w:left w:val="nil"/>
              <w:bottom w:val="nil"/>
              <w:right w:val="nil"/>
            </w:tcBorders>
            <w:shd w:val="clear" w:color="auto" w:fill="auto"/>
            <w:vAlign w:val="center"/>
          </w:tcPr>
          <w:p w14:paraId="5FF194AE">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4.82(4.62,5.23)</w:t>
            </w:r>
          </w:p>
        </w:tc>
        <w:tc>
          <w:tcPr>
            <w:tcW w:w="2020" w:type="dxa"/>
            <w:tcBorders>
              <w:top w:val="nil"/>
              <w:left w:val="nil"/>
              <w:bottom w:val="nil"/>
              <w:right w:val="nil"/>
            </w:tcBorders>
            <w:shd w:val="clear" w:color="auto" w:fill="auto"/>
            <w:vAlign w:val="center"/>
          </w:tcPr>
          <w:p w14:paraId="51E1D2D8">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4.86(4.15,5.26)</w:t>
            </w:r>
          </w:p>
        </w:tc>
        <w:tc>
          <w:tcPr>
            <w:tcW w:w="1700" w:type="dxa"/>
            <w:tcBorders>
              <w:top w:val="nil"/>
              <w:left w:val="nil"/>
              <w:bottom w:val="nil"/>
              <w:right w:val="nil"/>
            </w:tcBorders>
            <w:shd w:val="clear" w:color="auto" w:fill="auto"/>
            <w:vAlign w:val="center"/>
          </w:tcPr>
          <w:p w14:paraId="5F62771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0.748</w:t>
            </w:r>
          </w:p>
        </w:tc>
      </w:tr>
      <w:tr w14:paraId="0F345ACC">
        <w:tblPrEx>
          <w:tblLayout w:type="fixed"/>
        </w:tblPrEx>
        <w:trPr>
          <w:trHeight w:val="280" w:hRule="atLeast"/>
        </w:trPr>
        <w:tc>
          <w:tcPr>
            <w:tcW w:w="2268" w:type="dxa"/>
            <w:tcBorders>
              <w:top w:val="nil"/>
              <w:left w:val="nil"/>
              <w:bottom w:val="nil"/>
              <w:right w:val="nil"/>
            </w:tcBorders>
            <w:shd w:val="clear" w:color="auto" w:fill="auto"/>
            <w:vAlign w:val="bottom"/>
          </w:tcPr>
          <w:p w14:paraId="1B10244E">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H</w:t>
            </w:r>
            <w:r>
              <w:rPr>
                <w:rFonts w:hint="eastAsia" w:ascii="等线" w:hAnsi="等线" w:eastAsia="等线" w:cs="宋体"/>
                <w:color w:val="000000"/>
                <w:kern w:val="0"/>
                <w:szCs w:val="22"/>
                <w14:ligatures w14:val="none"/>
              </w:rPr>
              <w:t>c</w:t>
            </w:r>
            <w:r>
              <w:rPr>
                <w:rFonts w:hint="eastAsia" w:ascii="等线" w:hAnsi="等线" w:eastAsia="等线" w:cs="宋体"/>
                <w:color w:val="000000"/>
                <w:kern w:val="0"/>
                <w:szCs w:val="22"/>
                <w14:ligatures w14:val="none"/>
              </w:rPr>
              <w:t>t(</w:t>
            </w:r>
            <w:r>
              <w:rPr>
                <w:rFonts w:hint="eastAsia" w:ascii="等线" w:hAnsi="等线" w:eastAsia="等线" w:cs="宋体"/>
                <w:color w:val="000000"/>
                <w:kern w:val="0"/>
                <w:szCs w:val="22"/>
                <w14:ligatures w14:val="none"/>
              </w:rPr>
              <w:t>%)</w:t>
            </w:r>
            <w:r>
              <w:rPr>
                <w:rFonts w:hint="eastAsia" w:ascii="等线" w:hAnsi="等线" w:eastAsia="等线" w:cs="宋体"/>
                <w:color w:val="000000"/>
                <w:kern w:val="0"/>
                <w:szCs w:val="22"/>
                <w:vertAlign w:val="superscript"/>
                <w14:ligatures w14:val="none"/>
              </w:rPr>
              <w:t>a</w:t>
            </w:r>
          </w:p>
        </w:tc>
        <w:tc>
          <w:tcPr>
            <w:tcW w:w="2277" w:type="dxa"/>
            <w:tcBorders>
              <w:top w:val="nil"/>
              <w:left w:val="nil"/>
              <w:bottom w:val="nil"/>
              <w:right w:val="nil"/>
            </w:tcBorders>
            <w:shd w:val="clear" w:color="auto" w:fill="auto"/>
            <w:vAlign w:val="center"/>
          </w:tcPr>
          <w:p w14:paraId="554D80BA">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42.30(40.60,45.30)</w:t>
            </w:r>
          </w:p>
        </w:tc>
        <w:tc>
          <w:tcPr>
            <w:tcW w:w="2020" w:type="dxa"/>
            <w:tcBorders>
              <w:top w:val="nil"/>
              <w:left w:val="nil"/>
              <w:bottom w:val="nil"/>
              <w:right w:val="nil"/>
            </w:tcBorders>
            <w:shd w:val="clear" w:color="auto" w:fill="auto"/>
            <w:vAlign w:val="center"/>
          </w:tcPr>
          <w:p w14:paraId="195048D9">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41.00(38.45,46.45)</w:t>
            </w:r>
          </w:p>
        </w:tc>
        <w:tc>
          <w:tcPr>
            <w:tcW w:w="1700" w:type="dxa"/>
            <w:tcBorders>
              <w:top w:val="nil"/>
              <w:left w:val="nil"/>
              <w:bottom w:val="nil"/>
              <w:right w:val="nil"/>
            </w:tcBorders>
            <w:shd w:val="clear" w:color="auto" w:fill="auto"/>
            <w:vAlign w:val="center"/>
          </w:tcPr>
          <w:p w14:paraId="3807682D">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0.804</w:t>
            </w:r>
          </w:p>
        </w:tc>
      </w:tr>
      <w:tr w14:paraId="1B59702E">
        <w:tblPrEx>
          <w:tblLayout w:type="fixed"/>
        </w:tblPrEx>
        <w:trPr>
          <w:trHeight w:val="280" w:hRule="atLeast"/>
        </w:trPr>
        <w:tc>
          <w:tcPr>
            <w:tcW w:w="2268" w:type="dxa"/>
            <w:tcBorders>
              <w:top w:val="nil"/>
              <w:left w:val="nil"/>
              <w:bottom w:val="nil"/>
              <w:right w:val="nil"/>
            </w:tcBorders>
            <w:shd w:val="clear" w:color="auto" w:fill="auto"/>
            <w:vAlign w:val="bottom"/>
          </w:tcPr>
          <w:p w14:paraId="668BEC6B">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Hb(g/</w:t>
            </w:r>
            <w:r>
              <w:rPr>
                <w:rFonts w:hint="eastAsia" w:ascii="等线" w:hAnsi="等线" w:eastAsia="等线" w:cs="宋体"/>
                <w:color w:val="000000"/>
                <w:kern w:val="0"/>
                <w:szCs w:val="22"/>
                <w14:ligatures w14:val="none"/>
              </w:rPr>
              <w:t>L)</w:t>
            </w:r>
            <w:r>
              <w:rPr>
                <w:rFonts w:hint="eastAsia" w:ascii="等线" w:hAnsi="等线" w:eastAsia="等线" w:cs="宋体"/>
                <w:color w:val="000000"/>
                <w:kern w:val="0"/>
                <w:szCs w:val="22"/>
                <w:vertAlign w:val="superscript"/>
                <w14:ligatures w14:val="none"/>
              </w:rPr>
              <w:t>a</w:t>
            </w:r>
          </w:p>
        </w:tc>
        <w:tc>
          <w:tcPr>
            <w:tcW w:w="2277" w:type="dxa"/>
            <w:tcBorders>
              <w:top w:val="nil"/>
              <w:left w:val="nil"/>
              <w:bottom w:val="nil"/>
              <w:right w:val="nil"/>
            </w:tcBorders>
            <w:shd w:val="clear" w:color="auto" w:fill="auto"/>
            <w:vAlign w:val="center"/>
          </w:tcPr>
          <w:p w14:paraId="20F9BA70">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143.00(137.00,153.50)</w:t>
            </w:r>
          </w:p>
        </w:tc>
        <w:tc>
          <w:tcPr>
            <w:tcW w:w="2020" w:type="dxa"/>
            <w:tcBorders>
              <w:top w:val="nil"/>
              <w:left w:val="nil"/>
              <w:bottom w:val="nil"/>
              <w:right w:val="nil"/>
            </w:tcBorders>
            <w:shd w:val="clear" w:color="auto" w:fill="auto"/>
            <w:vAlign w:val="center"/>
          </w:tcPr>
          <w:p w14:paraId="27720DF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139(120.75,157.00)</w:t>
            </w:r>
          </w:p>
        </w:tc>
        <w:tc>
          <w:tcPr>
            <w:tcW w:w="1700" w:type="dxa"/>
            <w:tcBorders>
              <w:top w:val="nil"/>
              <w:left w:val="nil"/>
              <w:bottom w:val="nil"/>
              <w:right w:val="nil"/>
            </w:tcBorders>
            <w:shd w:val="clear" w:color="auto" w:fill="auto"/>
            <w:vAlign w:val="center"/>
          </w:tcPr>
          <w:p w14:paraId="5D8D935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0.206</w:t>
            </w:r>
          </w:p>
        </w:tc>
      </w:tr>
      <w:tr w14:paraId="367E25F4">
        <w:tblPrEx>
          <w:tblLayout w:type="fixed"/>
        </w:tblPrEx>
        <w:trPr>
          <w:trHeight w:val="280" w:hRule="atLeast"/>
        </w:trPr>
        <w:tc>
          <w:tcPr>
            <w:tcW w:w="2268" w:type="dxa"/>
            <w:tcBorders>
              <w:top w:val="nil"/>
              <w:left w:val="nil"/>
              <w:bottom w:val="nil"/>
              <w:right w:val="nil"/>
            </w:tcBorders>
            <w:shd w:val="clear" w:color="auto" w:fill="auto"/>
            <w:vAlign w:val="bottom"/>
          </w:tcPr>
          <w:p w14:paraId="513161D0">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PT</w:t>
            </w:r>
            <w:bookmarkStart w:id="13" w:name="OLE_LINK6"/>
            <w:r>
              <w:rPr>
                <w:rFonts w:hint="eastAsia" w:ascii="等线" w:hAnsi="等线" w:eastAsia="等线" w:cs="宋体"/>
                <w:color w:val="000000"/>
                <w:kern w:val="0"/>
                <w:szCs w:val="22"/>
                <w14:ligatures w14:val="none"/>
              </w:rPr>
              <w:t>(s)</w:t>
            </w:r>
            <w:bookmarkEnd w:id="13"/>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2277" w:type="dxa"/>
            <w:tcBorders>
              <w:top w:val="nil"/>
              <w:left w:val="nil"/>
              <w:bottom w:val="nil"/>
              <w:right w:val="nil"/>
            </w:tcBorders>
            <w:shd w:val="clear" w:color="auto" w:fill="auto"/>
            <w:vAlign w:val="center"/>
          </w:tcPr>
          <w:p w14:paraId="6E823EE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12.64±0.53</w:t>
            </w:r>
          </w:p>
        </w:tc>
        <w:tc>
          <w:tcPr>
            <w:tcW w:w="2020" w:type="dxa"/>
            <w:tcBorders>
              <w:top w:val="nil"/>
              <w:left w:val="nil"/>
              <w:bottom w:val="nil"/>
              <w:right w:val="nil"/>
            </w:tcBorders>
            <w:shd w:val="clear" w:color="auto" w:fill="auto"/>
            <w:vAlign w:val="center"/>
          </w:tcPr>
          <w:p w14:paraId="15B3212C">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13.25±1.27</w:t>
            </w:r>
          </w:p>
        </w:tc>
        <w:tc>
          <w:tcPr>
            <w:tcW w:w="1700" w:type="dxa"/>
            <w:tcBorders>
              <w:top w:val="nil"/>
              <w:left w:val="nil"/>
              <w:bottom w:val="nil"/>
              <w:right w:val="nil"/>
            </w:tcBorders>
            <w:shd w:val="clear" w:color="auto" w:fill="auto"/>
            <w:vAlign w:val="center"/>
          </w:tcPr>
          <w:p w14:paraId="140C49F6">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0.002</w:t>
            </w:r>
            <w:r>
              <w:rPr>
                <w:rFonts w:hint="eastAsia" w:ascii="等线" w:hAnsi="等线" w:eastAsia="等线" w:cs="宋体"/>
                <w:color w:val="000000"/>
                <w:kern w:val="0"/>
                <w:szCs w:val="22"/>
                <w:vertAlign w:val="superscript"/>
                <w14:ligatures w14:val="none"/>
              </w:rPr>
              <w:t>*</w:t>
            </w:r>
          </w:p>
        </w:tc>
      </w:tr>
      <w:tr w14:paraId="66D2FEDB">
        <w:tblPrEx>
          <w:tblLayout w:type="fixed"/>
        </w:tblPrEx>
        <w:trPr>
          <w:trHeight w:val="280" w:hRule="atLeast"/>
        </w:trPr>
        <w:tc>
          <w:tcPr>
            <w:tcW w:w="2268" w:type="dxa"/>
            <w:tcBorders>
              <w:top w:val="nil"/>
              <w:left w:val="nil"/>
              <w:bottom w:val="nil"/>
              <w:right w:val="nil"/>
            </w:tcBorders>
            <w:shd w:val="clear" w:color="auto" w:fill="auto"/>
            <w:vAlign w:val="bottom"/>
          </w:tcPr>
          <w:p w14:paraId="2082D556">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APTT</w:t>
            </w:r>
            <w:r>
              <w:rPr>
                <w:rFonts w:hint="eastAsia" w:ascii="等线" w:hAnsi="等线" w:eastAsia="等线" w:cs="宋体"/>
                <w:color w:val="000000"/>
                <w:kern w:val="0"/>
                <w:szCs w:val="22"/>
                <w14:ligatures w14:val="none"/>
              </w:rPr>
              <w:t>(s)</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a</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2277" w:type="dxa"/>
            <w:tcBorders>
              <w:top w:val="nil"/>
              <w:left w:val="nil"/>
              <w:bottom w:val="nil"/>
              <w:right w:val="nil"/>
            </w:tcBorders>
            <w:shd w:val="clear" w:color="auto" w:fill="auto"/>
            <w:vAlign w:val="center"/>
          </w:tcPr>
          <w:p w14:paraId="563F19F6">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34.90(32.25,36.45)</w:t>
            </w:r>
          </w:p>
        </w:tc>
        <w:tc>
          <w:tcPr>
            <w:tcW w:w="2020" w:type="dxa"/>
            <w:tcBorders>
              <w:top w:val="nil"/>
              <w:left w:val="nil"/>
              <w:bottom w:val="nil"/>
              <w:right w:val="nil"/>
            </w:tcBorders>
            <w:shd w:val="clear" w:color="auto" w:fill="auto"/>
            <w:vAlign w:val="center"/>
          </w:tcPr>
          <w:p w14:paraId="4DD3C46A">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36.45(33.65,39.75)</w:t>
            </w:r>
          </w:p>
        </w:tc>
        <w:tc>
          <w:tcPr>
            <w:tcW w:w="1700" w:type="dxa"/>
            <w:tcBorders>
              <w:top w:val="nil"/>
              <w:left w:val="nil"/>
              <w:bottom w:val="nil"/>
              <w:right w:val="nil"/>
            </w:tcBorders>
            <w:shd w:val="clear" w:color="auto" w:fill="auto"/>
            <w:vAlign w:val="center"/>
          </w:tcPr>
          <w:p w14:paraId="5022EC60">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0.013</w:t>
            </w:r>
            <w:r>
              <w:rPr>
                <w:rFonts w:hint="eastAsia" w:ascii="等线" w:hAnsi="等线" w:eastAsia="等线" w:cs="宋体"/>
                <w:color w:val="000000"/>
                <w:kern w:val="0"/>
                <w:szCs w:val="22"/>
                <w:vertAlign w:val="superscript"/>
                <w14:ligatures w14:val="none"/>
              </w:rPr>
              <w:t>*</w:t>
            </w:r>
          </w:p>
        </w:tc>
      </w:tr>
      <w:tr w14:paraId="317608C1">
        <w:tblPrEx>
          <w:tblLayout w:type="fixed"/>
        </w:tblPrEx>
        <w:trPr>
          <w:trHeight w:val="280" w:hRule="atLeast"/>
        </w:trPr>
        <w:tc>
          <w:tcPr>
            <w:tcW w:w="2268" w:type="dxa"/>
            <w:tcBorders>
              <w:top w:val="nil"/>
              <w:left w:val="nil"/>
              <w:bottom w:val="nil"/>
              <w:right w:val="nil"/>
            </w:tcBorders>
            <w:shd w:val="clear" w:color="auto" w:fill="auto"/>
            <w:vAlign w:val="bottom"/>
          </w:tcPr>
          <w:p w14:paraId="47880B8C">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FIB</w:t>
            </w:r>
            <w:r>
              <w:rPr>
                <w:rFonts w:hint="eastAsia" w:ascii="等线" w:hAnsi="等线" w:eastAsia="等线" w:cs="宋体"/>
                <w:color w:val="000000"/>
                <w:kern w:val="0"/>
                <w:szCs w:val="22"/>
                <w14:ligatures w14:val="none"/>
              </w:rPr>
              <w:t>(x±</w:t>
            </w:r>
            <w:r>
              <w:rPr>
                <w:rFonts w:hint="eastAsia" w:ascii="等线" w:hAnsi="等线" w:eastAsia="等线" w:cs="宋体"/>
                <w:color w:val="000000"/>
                <w:kern w:val="0"/>
                <w:szCs w:val="22"/>
                <w14:ligatures w14:val="none"/>
              </w:rPr>
              <w:t>s,</w:t>
            </w:r>
            <w:bookmarkStart w:id="14" w:name="_Hlk191137468"/>
            <w:r>
              <w:rPr>
                <w:rFonts w:hint="eastAsia" w:ascii="等线" w:hAnsi="等线" w:eastAsia="等线" w:cs="宋体"/>
                <w:color w:val="000000"/>
                <w:kern w:val="0"/>
                <w:szCs w:val="22"/>
                <w14:ligatures w14:val="none"/>
              </w:rPr>
              <w:t>g</w:t>
            </w:r>
            <w:r>
              <w:rPr>
                <w:rFonts w:hint="eastAsia" w:ascii="等线" w:hAnsi="等线" w:eastAsia="等线" w:cs="宋体"/>
                <w:color w:val="000000"/>
                <w:kern w:val="0"/>
                <w:szCs w:val="22"/>
                <w14:ligatures w14:val="none"/>
              </w:rPr>
              <w:t>/L</w:t>
            </w:r>
            <w:bookmarkEnd w:id="14"/>
            <w:r>
              <w:rPr>
                <w:rFonts w:hint="eastAsia" w:ascii="等线" w:hAnsi="等线" w:eastAsia="等线" w:cs="宋体"/>
                <w:color w:val="000000"/>
                <w:kern w:val="0"/>
                <w:szCs w:val="22"/>
                <w14:ligatures w14:val="none"/>
              </w:rPr>
              <w:t>)</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2277" w:type="dxa"/>
            <w:tcBorders>
              <w:top w:val="nil"/>
              <w:left w:val="nil"/>
              <w:bottom w:val="nil"/>
              <w:right w:val="nil"/>
            </w:tcBorders>
            <w:shd w:val="clear" w:color="auto" w:fill="auto"/>
            <w:vAlign w:val="center"/>
          </w:tcPr>
          <w:p w14:paraId="492FDA97">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317.77±67.05</w:t>
            </w:r>
          </w:p>
        </w:tc>
        <w:tc>
          <w:tcPr>
            <w:tcW w:w="2020" w:type="dxa"/>
            <w:tcBorders>
              <w:top w:val="nil"/>
              <w:left w:val="nil"/>
              <w:bottom w:val="nil"/>
              <w:right w:val="nil"/>
            </w:tcBorders>
            <w:shd w:val="clear" w:color="auto" w:fill="auto"/>
            <w:vAlign w:val="center"/>
          </w:tcPr>
          <w:p w14:paraId="4BE1BFCD">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327.30±114.40</w:t>
            </w:r>
          </w:p>
        </w:tc>
        <w:tc>
          <w:tcPr>
            <w:tcW w:w="1700" w:type="dxa"/>
            <w:tcBorders>
              <w:top w:val="nil"/>
              <w:left w:val="nil"/>
              <w:bottom w:val="nil"/>
              <w:right w:val="nil"/>
            </w:tcBorders>
            <w:shd w:val="clear" w:color="auto" w:fill="auto"/>
            <w:vAlign w:val="center"/>
          </w:tcPr>
          <w:p w14:paraId="2E87F95C">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0.001</w:t>
            </w:r>
            <w:r>
              <w:rPr>
                <w:rFonts w:hint="eastAsia" w:ascii="等线" w:hAnsi="等线" w:eastAsia="等线" w:cs="宋体"/>
                <w:color w:val="000000"/>
                <w:kern w:val="0"/>
                <w:szCs w:val="22"/>
                <w:vertAlign w:val="superscript"/>
                <w14:ligatures w14:val="none"/>
              </w:rPr>
              <w:t>*</w:t>
            </w:r>
          </w:p>
        </w:tc>
      </w:tr>
      <w:tr w14:paraId="575B8566">
        <w:tblPrEx>
          <w:tblLayout w:type="fixed"/>
        </w:tblPrEx>
        <w:trPr>
          <w:trHeight w:val="280" w:hRule="atLeast"/>
        </w:trPr>
        <w:tc>
          <w:tcPr>
            <w:tcW w:w="2268" w:type="dxa"/>
            <w:tcBorders>
              <w:top w:val="nil"/>
              <w:left w:val="nil"/>
              <w:right w:val="nil"/>
            </w:tcBorders>
            <w:shd w:val="clear" w:color="auto" w:fill="auto"/>
            <w:vAlign w:val="bottom"/>
          </w:tcPr>
          <w:p w14:paraId="183A8EC9">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ALT</w:t>
            </w:r>
            <w:r>
              <w:rPr>
                <w:rFonts w:hint="eastAsia" w:ascii="等线" w:hAnsi="等线" w:eastAsia="等线" w:cs="宋体"/>
                <w:color w:val="000000"/>
                <w:kern w:val="0"/>
                <w:szCs w:val="22"/>
                <w14:ligatures w14:val="none"/>
              </w:rPr>
              <w:t>(x±</w:t>
            </w:r>
            <w:r>
              <w:rPr>
                <w:rFonts w:hint="eastAsia" w:ascii="等线" w:hAnsi="等线" w:eastAsia="等线" w:cs="宋体"/>
                <w:color w:val="000000"/>
                <w:kern w:val="0"/>
                <w:szCs w:val="22"/>
                <w14:ligatures w14:val="none"/>
              </w:rPr>
              <w:t>s</w:t>
            </w:r>
            <w:bookmarkStart w:id="15" w:name="_Hlk191142009"/>
            <w:r>
              <w:rPr>
                <w:rFonts w:hint="eastAsia" w:ascii="等线" w:hAnsi="等线" w:eastAsia="等线" w:cs="宋体"/>
                <w:color w:val="000000"/>
                <w:kern w:val="0"/>
                <w:szCs w:val="22"/>
                <w14:ligatures w14:val="none"/>
              </w:rPr>
              <w:t>,</w:t>
            </w:r>
            <w:bookmarkStart w:id="16" w:name="_Hlk191137523"/>
            <w:r>
              <w:rPr>
                <w:rFonts w:hint="eastAsia" w:ascii="等线" w:hAnsi="等线" w:eastAsia="等线" w:cs="宋体"/>
                <w:color w:val="000000"/>
                <w:kern w:val="0"/>
                <w:szCs w:val="22"/>
                <w14:ligatures w14:val="none"/>
              </w:rPr>
              <w:t>U</w:t>
            </w:r>
            <w:r>
              <w:rPr>
                <w:rFonts w:hint="eastAsia" w:ascii="等线" w:hAnsi="等线" w:eastAsia="等线" w:cs="宋体"/>
                <w:color w:val="000000"/>
                <w:kern w:val="0"/>
                <w:szCs w:val="22"/>
                <w14:ligatures w14:val="none"/>
              </w:rPr>
              <w:t>/L</w:t>
            </w:r>
            <w:bookmarkEnd w:id="15"/>
            <w:bookmarkEnd w:id="16"/>
            <w:r>
              <w:rPr>
                <w:rFonts w:hint="eastAsia" w:ascii="等线" w:hAnsi="等线" w:eastAsia="等线" w:cs="宋体"/>
                <w:color w:val="000000"/>
                <w:kern w:val="0"/>
                <w:szCs w:val="22"/>
                <w14:ligatures w14:val="none"/>
              </w:rPr>
              <w:t>)</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2277" w:type="dxa"/>
            <w:tcBorders>
              <w:top w:val="nil"/>
              <w:left w:val="nil"/>
              <w:right w:val="nil"/>
            </w:tcBorders>
            <w:shd w:val="clear" w:color="auto" w:fill="auto"/>
            <w:vAlign w:val="center"/>
          </w:tcPr>
          <w:p w14:paraId="1984711D">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29.92±11.00</w:t>
            </w:r>
          </w:p>
        </w:tc>
        <w:tc>
          <w:tcPr>
            <w:tcW w:w="2020" w:type="dxa"/>
            <w:tcBorders>
              <w:top w:val="nil"/>
              <w:left w:val="nil"/>
              <w:right w:val="nil"/>
            </w:tcBorders>
            <w:shd w:val="clear" w:color="auto" w:fill="auto"/>
            <w:vAlign w:val="center"/>
          </w:tcPr>
          <w:p w14:paraId="08F432F1">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21.8±13.04</w:t>
            </w:r>
          </w:p>
        </w:tc>
        <w:tc>
          <w:tcPr>
            <w:tcW w:w="1700" w:type="dxa"/>
            <w:tcBorders>
              <w:top w:val="nil"/>
              <w:left w:val="nil"/>
              <w:right w:val="nil"/>
            </w:tcBorders>
            <w:shd w:val="clear" w:color="auto" w:fill="auto"/>
            <w:vAlign w:val="center"/>
          </w:tcPr>
          <w:p w14:paraId="1B52ED04">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0.001</w:t>
            </w:r>
            <w:r>
              <w:rPr>
                <w:rFonts w:hint="eastAsia" w:ascii="等线" w:hAnsi="等线" w:eastAsia="等线" w:cs="宋体"/>
                <w:color w:val="000000"/>
                <w:kern w:val="0"/>
                <w:szCs w:val="22"/>
                <w:vertAlign w:val="superscript"/>
                <w14:ligatures w14:val="none"/>
              </w:rPr>
              <w:t>*</w:t>
            </w:r>
          </w:p>
        </w:tc>
      </w:tr>
      <w:tr w14:paraId="47A448F0">
        <w:tblPrEx>
          <w:tblLayout w:type="fixed"/>
        </w:tblPrEx>
        <w:trPr>
          <w:trHeight w:val="280" w:hRule="atLeast"/>
        </w:trPr>
        <w:tc>
          <w:tcPr>
            <w:tcW w:w="2268" w:type="dxa"/>
            <w:tcBorders>
              <w:top w:val="nil"/>
              <w:left w:val="nil"/>
              <w:bottom w:val="single" w:color="auto" w:sz="4" w:space="0"/>
              <w:right w:val="nil"/>
            </w:tcBorders>
            <w:shd w:val="clear" w:color="auto" w:fill="auto"/>
            <w:vAlign w:val="bottom"/>
          </w:tcPr>
          <w:p w14:paraId="6D1976D0">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手术时间</w:t>
            </w:r>
            <w:r>
              <w:rPr>
                <w:rFonts w:hint="eastAsia" w:ascii="等线" w:hAnsi="等线" w:eastAsia="等线" w:cs="宋体"/>
                <w:color w:val="000000"/>
                <w:kern w:val="0"/>
                <w:szCs w:val="22"/>
                <w14:ligatures w14:val="none"/>
              </w:rPr>
              <w:t>(x±</w:t>
            </w:r>
            <w:r>
              <w:rPr>
                <w:rFonts w:hint="eastAsia" w:ascii="等线" w:hAnsi="等线" w:eastAsia="等线" w:cs="宋体"/>
                <w:color w:val="000000"/>
                <w:kern w:val="0"/>
                <w:szCs w:val="22"/>
                <w14:ligatures w14:val="none"/>
              </w:rPr>
              <w:t>s,h</w:t>
            </w:r>
            <w:r>
              <w:rPr>
                <w:rFonts w:hint="eastAsia" w:ascii="等线" w:hAnsi="等线" w:eastAsia="等线" w:cs="宋体"/>
                <w:color w:val="000000"/>
                <w:kern w:val="0"/>
                <w:szCs w:val="22"/>
                <w14:ligatures w14:val="none"/>
              </w:rPr>
              <w:t>)</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2277" w:type="dxa"/>
            <w:tcBorders>
              <w:top w:val="nil"/>
              <w:left w:val="nil"/>
              <w:bottom w:val="single" w:color="auto" w:sz="4" w:space="0"/>
              <w:right w:val="nil"/>
            </w:tcBorders>
            <w:shd w:val="clear" w:color="auto" w:fill="auto"/>
            <w:vAlign w:val="center"/>
          </w:tcPr>
          <w:p w14:paraId="04F004D3">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2.743±0.822</w:t>
            </w:r>
          </w:p>
        </w:tc>
        <w:tc>
          <w:tcPr>
            <w:tcW w:w="2020" w:type="dxa"/>
            <w:tcBorders>
              <w:top w:val="nil"/>
              <w:left w:val="nil"/>
              <w:bottom w:val="single" w:color="auto" w:sz="4" w:space="0"/>
              <w:right w:val="nil"/>
            </w:tcBorders>
            <w:shd w:val="clear" w:color="auto" w:fill="auto"/>
            <w:vAlign w:val="center"/>
          </w:tcPr>
          <w:p w14:paraId="06F5BE7D">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4.140±1.618</w:t>
            </w:r>
          </w:p>
        </w:tc>
        <w:tc>
          <w:tcPr>
            <w:tcW w:w="1700" w:type="dxa"/>
            <w:tcBorders>
              <w:top w:val="nil"/>
              <w:left w:val="nil"/>
              <w:bottom w:val="single" w:color="auto" w:sz="4" w:space="0"/>
              <w:right w:val="nil"/>
            </w:tcBorders>
            <w:shd w:val="clear" w:color="auto" w:fill="auto"/>
            <w:vAlign w:val="center"/>
          </w:tcPr>
          <w:p w14:paraId="1C997EDB">
            <w:pPr>
              <w:keepNext/>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0.001</w:t>
            </w:r>
            <w:r>
              <w:rPr>
                <w:rFonts w:hint="eastAsia" w:ascii="等线" w:hAnsi="等线" w:eastAsia="等线" w:cs="宋体"/>
                <w:color w:val="000000"/>
                <w:kern w:val="0"/>
                <w:szCs w:val="22"/>
                <w:vertAlign w:val="superscript"/>
                <w14:ligatures w14:val="none"/>
              </w:rPr>
              <w:t>*</w:t>
            </w:r>
          </w:p>
        </w:tc>
      </w:tr>
    </w:tbl>
    <w:p w14:paraId="46CAE1E7">
      <w:pPr>
        <w:keepNext/>
        <w:widowControl/>
        <w:jc w:val="both"/>
        <w:rPr>
          <w:rFonts w:hint="eastAsia" w:ascii="宋体" w:hAnsi="宋体" w:eastAsia="宋体"/>
          <w:sz w:val="21"/>
          <w:szCs w:val="21"/>
        </w:rPr>
      </w:pPr>
      <w:r>
        <w:rPr>
          <w:rFonts w:hint="eastAsia" w:ascii="宋体" w:hAnsi="宋体" w:eastAsia="宋体"/>
          <w:sz w:val="24"/>
        </w:rPr>
        <w:fldChar w:fldCharType="end"/>
      </w:r>
      <w:r>
        <w:rPr>
          <w:rFonts w:hint="eastAsia" w:ascii="宋体" w:hAnsi="宋体" w:eastAsia="宋体"/>
          <w:sz w:val="21"/>
          <w:szCs w:val="21"/>
        </w:rPr>
        <w:t>RBC:红细胞计数；</w:t>
      </w:r>
      <w:r>
        <w:rPr>
          <w:rFonts w:hint="eastAsia" w:ascii="宋体" w:hAnsi="宋体" w:eastAsia="宋体" w:cs="宋体"/>
          <w:color w:val="000000"/>
          <w:kern w:val="0"/>
          <w:sz w:val="21"/>
          <w:szCs w:val="21"/>
          <w14:ligatures w14:val="none"/>
        </w:rPr>
        <w:t>Hct:血细胞比容；Hb:血红蛋白;</w:t>
      </w:r>
      <w:r>
        <w:rPr>
          <w:rFonts w:hint="eastAsia" w:ascii="宋体" w:hAnsi="宋体" w:eastAsia="宋体"/>
          <w:sz w:val="21"/>
          <w:szCs w:val="21"/>
        </w:rPr>
        <w:t xml:space="preserve"> </w:t>
      </w:r>
      <w:r>
        <w:rPr>
          <w:rFonts w:hint="eastAsia" w:ascii="宋体" w:hAnsi="宋体" w:eastAsia="宋体" w:cs="宋体"/>
          <w:color w:val="000000"/>
          <w:kern w:val="0"/>
          <w:sz w:val="21"/>
          <w:szCs w:val="21"/>
          <w14:ligatures w14:val="none"/>
        </w:rPr>
        <w:t>PT:凝血酶时间;</w:t>
      </w:r>
      <w:r>
        <w:rPr>
          <w:rFonts w:ascii="宋体" w:hAnsi="宋体" w:eastAsia="宋体"/>
          <w:sz w:val="21"/>
          <w:szCs w:val="21"/>
        </w:rPr>
        <w:t xml:space="preserve"> </w:t>
      </w:r>
      <w:r>
        <w:rPr>
          <w:rFonts w:hint="eastAsia" w:ascii="宋体" w:hAnsi="宋体" w:eastAsia="宋体"/>
          <w:sz w:val="21"/>
          <w:szCs w:val="21"/>
        </w:rPr>
        <w:t>APTT:活化部分凝血活酶时间;FIB:纤维蛋白原;ALT:丙氨酸氨基转移酶;a:M(Q 1 ,Q 3 )。</w:t>
      </w:r>
    </w:p>
    <w:p w14:paraId="58508543">
      <w:pPr>
        <w:rPr>
          <w:rFonts w:hint="eastAsia" w:ascii="宋体" w:hAnsi="宋体" w:eastAsia="宋体"/>
          <w:sz w:val="24"/>
        </w:rPr>
      </w:pPr>
      <w:r>
        <w:rPr>
          <w:rFonts w:hint="eastAsia" w:ascii="宋体" w:hAnsi="宋体" w:eastAsia="宋体"/>
          <w:sz w:val="24"/>
        </w:rPr>
        <w:t>2.2.2 分类变量</w:t>
      </w:r>
    </w:p>
    <w:p w14:paraId="11496561">
      <w:pPr>
        <w:rPr>
          <w:rFonts w:hint="eastAsia" w:ascii="宋体" w:hAnsi="宋体" w:eastAsia="宋体"/>
          <w:sz w:val="24"/>
        </w:rPr>
      </w:pPr>
      <w:r>
        <w:rPr>
          <w:rFonts w:hint="eastAsia" w:ascii="宋体" w:hAnsi="宋体" w:eastAsia="宋体"/>
          <w:sz w:val="24"/>
        </w:rPr>
        <w:t xml:space="preserve">    对于分类变量采取</w:t>
      </w:r>
      <w:bookmarkStart w:id="17" w:name="OLE_LINK1"/>
      <w:r>
        <w:rPr>
          <w:rFonts w:hint="eastAsia" w:ascii="宋体" w:hAnsi="宋体" w:eastAsia="宋体"/>
          <w:sz w:val="24"/>
        </w:rPr>
        <w:t>x</w:t>
      </w:r>
      <w:r>
        <w:rPr>
          <w:rFonts w:hint="eastAsia" w:ascii="宋体" w:hAnsi="宋体" w:eastAsia="宋体"/>
          <w:sz w:val="24"/>
          <w:vertAlign w:val="superscript"/>
        </w:rPr>
        <w:t>2</w:t>
      </w:r>
      <w:bookmarkEnd w:id="17"/>
      <w:r>
        <w:rPr>
          <w:rFonts w:hint="eastAsia" w:ascii="宋体" w:hAnsi="宋体" w:eastAsia="宋体"/>
          <w:sz w:val="24"/>
        </w:rPr>
        <w:t>检验，结果显示两组患者手术部位，手术体位的差异有统计学意义（</w:t>
      </w:r>
      <w:r>
        <w:rPr>
          <w:rFonts w:hint="eastAsia" w:ascii="宋体" w:hAnsi="宋体" w:eastAsia="宋体"/>
          <w:i/>
          <w:iCs/>
          <w:sz w:val="24"/>
        </w:rPr>
        <w:t>P＜0.05</w:t>
      </w:r>
      <w:r>
        <w:rPr>
          <w:rFonts w:hint="eastAsia" w:ascii="宋体" w:hAnsi="宋体" w:eastAsia="宋体"/>
          <w:sz w:val="24"/>
        </w:rPr>
        <w:t>），见表2。</w:t>
      </w:r>
    </w:p>
    <w:p w14:paraId="14C4230F">
      <w:pPr>
        <w:jc w:val="center"/>
        <w:rPr>
          <w:rFonts w:hint="eastAsia"/>
        </w:rPr>
      </w:pPr>
      <w:r>
        <w:rPr>
          <w:rFonts w:hint="eastAsia" w:ascii="宋体" w:hAnsi="宋体" w:eastAsia="宋体"/>
          <w:b/>
          <w:bCs/>
          <w:sz w:val="21"/>
          <w:szCs w:val="21"/>
        </w:rPr>
        <w:t>表2  两组患者分类变量的比较（n</w:t>
      </w:r>
      <w:r>
        <w:rPr>
          <w:rFonts w:ascii="宋体" w:hAnsi="宋体" w:eastAsia="宋体"/>
          <w:b/>
          <w:bCs/>
          <w:sz w:val="21"/>
          <w:szCs w:val="21"/>
        </w:rPr>
        <w:t>）</w:t>
      </w:r>
      <w:r>
        <w:rPr>
          <w:rFonts w:hint="eastAsia" w:ascii="宋体" w:hAnsi="宋体" w:eastAsia="宋体"/>
          <w:b/>
          <w:bCs/>
          <w:sz w:val="21"/>
          <w:szCs w:val="21"/>
        </w:rPr>
        <w:fldChar w:fldCharType="begin"/>
      </w:r>
      <w:r>
        <w:rPr>
          <w:rFonts w:hint="eastAsia" w:ascii="宋体" w:hAnsi="宋体" w:eastAsia="宋体"/>
          <w:b/>
          <w:bCs/>
          <w:sz w:val="21"/>
          <w:szCs w:val="21"/>
        </w:rPr>
        <w:instrText xml:space="preserve"> LINK Excel.Sheet.12 C:\\Users\\thinkpad\\Desktop\\T和P.xlsx Sheet1!R35C1:R52C6 \a \f 4 \h  \* MERGEFORMAT </w:instrText>
      </w:r>
      <w:r>
        <w:rPr>
          <w:rFonts w:hint="eastAsia" w:ascii="宋体" w:hAnsi="宋体" w:eastAsia="宋体"/>
          <w:b/>
          <w:bCs/>
          <w:sz w:val="21"/>
          <w:szCs w:val="21"/>
        </w:rPr>
        <w:fldChar w:fldCharType="separate"/>
      </w:r>
    </w:p>
    <w:tbl>
      <w:tblPr>
        <w:tblStyle w:val="16"/>
        <w:tblW w:w="8810" w:type="dxa"/>
        <w:tblInd w:w="0" w:type="dxa"/>
        <w:tblLayout w:type="fixed"/>
        <w:tblCellMar>
          <w:top w:w="0" w:type="dxa"/>
          <w:left w:w="108" w:type="dxa"/>
          <w:bottom w:w="0" w:type="dxa"/>
          <w:right w:w="108" w:type="dxa"/>
        </w:tblCellMar>
      </w:tblPr>
      <w:tblGrid>
        <w:gridCol w:w="1710"/>
        <w:gridCol w:w="1420"/>
        <w:gridCol w:w="1540"/>
        <w:gridCol w:w="1640"/>
        <w:gridCol w:w="1360"/>
        <w:gridCol w:w="1140"/>
      </w:tblGrid>
      <w:tr w14:paraId="097C43C8">
        <w:tblPrEx>
          <w:tblLayout w:type="fixed"/>
        </w:tblPrEx>
        <w:trPr>
          <w:trHeight w:val="280" w:hRule="atLeast"/>
        </w:trPr>
        <w:tc>
          <w:tcPr>
            <w:tcW w:w="1710" w:type="dxa"/>
            <w:tcBorders>
              <w:top w:val="single" w:color="auto" w:sz="4" w:space="0"/>
              <w:left w:val="nil"/>
              <w:bottom w:val="nil"/>
              <w:right w:val="nil"/>
            </w:tcBorders>
            <w:shd w:val="clear" w:color="auto" w:fill="auto"/>
            <w:vAlign w:val="center"/>
          </w:tcPr>
          <w:p w14:paraId="08B24739">
            <w:pPr>
              <w:widowControl/>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420" w:type="dxa"/>
            <w:tcBorders>
              <w:top w:val="single" w:color="auto" w:sz="4" w:space="0"/>
              <w:left w:val="nil"/>
              <w:bottom w:val="nil"/>
              <w:right w:val="nil"/>
            </w:tcBorders>
            <w:shd w:val="clear" w:color="auto" w:fill="auto"/>
            <w:vAlign w:val="center"/>
          </w:tcPr>
          <w:p w14:paraId="3A62FAC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540" w:type="dxa"/>
            <w:tcBorders>
              <w:top w:val="single" w:color="auto" w:sz="4" w:space="0"/>
              <w:left w:val="nil"/>
              <w:bottom w:val="nil"/>
              <w:right w:val="nil"/>
            </w:tcBorders>
            <w:shd w:val="clear" w:color="auto" w:fill="auto"/>
            <w:vAlign w:val="center"/>
          </w:tcPr>
          <w:p w14:paraId="023C3A9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w:t>
            </w:r>
            <w:r>
              <w:rPr>
                <w:rFonts w:hint="eastAsia" w:ascii="等线" w:hAnsi="等线" w:eastAsia="等线" w:cs="宋体"/>
                <w:color w:val="000000"/>
                <w:kern w:val="0"/>
                <w:szCs w:val="22"/>
                <w14:ligatures w14:val="none"/>
              </w:rPr>
              <w:t>MBT</w:t>
            </w:r>
          </w:p>
        </w:tc>
        <w:tc>
          <w:tcPr>
            <w:tcW w:w="1640" w:type="dxa"/>
            <w:tcBorders>
              <w:top w:val="single" w:color="auto" w:sz="4" w:space="0"/>
              <w:left w:val="nil"/>
              <w:bottom w:val="nil"/>
              <w:right w:val="nil"/>
            </w:tcBorders>
            <w:shd w:val="clear" w:color="auto" w:fill="auto"/>
            <w:vAlign w:val="center"/>
          </w:tcPr>
          <w:p w14:paraId="5BA00AC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MBT</w:t>
            </w:r>
          </w:p>
        </w:tc>
        <w:tc>
          <w:tcPr>
            <w:tcW w:w="1360" w:type="dxa"/>
            <w:tcBorders>
              <w:top w:val="single" w:color="auto" w:sz="4" w:space="0"/>
              <w:left w:val="nil"/>
              <w:bottom w:val="nil"/>
              <w:right w:val="nil"/>
            </w:tcBorders>
            <w:shd w:val="clear" w:color="auto" w:fill="auto"/>
            <w:vAlign w:val="center"/>
          </w:tcPr>
          <w:p w14:paraId="25C9FA9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140" w:type="dxa"/>
            <w:tcBorders>
              <w:top w:val="single" w:color="auto" w:sz="4" w:space="0"/>
              <w:left w:val="nil"/>
              <w:bottom w:val="nil"/>
              <w:right w:val="nil"/>
            </w:tcBorders>
            <w:shd w:val="clear" w:color="auto" w:fill="auto"/>
            <w:vAlign w:val="center"/>
          </w:tcPr>
          <w:p w14:paraId="509F473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r>
      <w:tr w14:paraId="5A41D0C6">
        <w:tblPrEx>
          <w:tblLayout w:type="fixed"/>
        </w:tblPrEx>
        <w:trPr>
          <w:trHeight w:val="280" w:hRule="atLeast"/>
        </w:trPr>
        <w:tc>
          <w:tcPr>
            <w:tcW w:w="1710" w:type="dxa"/>
            <w:tcBorders>
              <w:top w:val="nil"/>
              <w:left w:val="nil"/>
              <w:bottom w:val="single" w:color="auto" w:sz="4" w:space="0"/>
              <w:right w:val="nil"/>
            </w:tcBorders>
            <w:shd w:val="clear" w:color="auto" w:fill="auto"/>
            <w:vAlign w:val="center"/>
          </w:tcPr>
          <w:p w14:paraId="7F40FC9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420" w:type="dxa"/>
            <w:tcBorders>
              <w:top w:val="nil"/>
              <w:left w:val="nil"/>
              <w:bottom w:val="single" w:color="auto" w:sz="4" w:space="0"/>
              <w:right w:val="nil"/>
            </w:tcBorders>
            <w:shd w:val="clear" w:color="auto" w:fill="auto"/>
            <w:vAlign w:val="center"/>
          </w:tcPr>
          <w:p w14:paraId="7B27EC4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540" w:type="dxa"/>
            <w:tcBorders>
              <w:top w:val="nil"/>
              <w:left w:val="nil"/>
              <w:bottom w:val="single" w:color="auto" w:sz="4" w:space="0"/>
              <w:right w:val="nil"/>
            </w:tcBorders>
            <w:shd w:val="clear" w:color="auto" w:fill="auto"/>
            <w:vAlign w:val="center"/>
          </w:tcPr>
          <w:p w14:paraId="45A0202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（n=13)</w:t>
            </w:r>
          </w:p>
        </w:tc>
        <w:tc>
          <w:tcPr>
            <w:tcW w:w="1640" w:type="dxa"/>
            <w:tcBorders>
              <w:top w:val="nil"/>
              <w:left w:val="nil"/>
              <w:bottom w:val="single" w:color="auto" w:sz="4" w:space="0"/>
              <w:right w:val="nil"/>
            </w:tcBorders>
            <w:shd w:val="clear" w:color="auto" w:fill="auto"/>
            <w:vAlign w:val="center"/>
          </w:tcPr>
          <w:p w14:paraId="2AFE799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(n=20)</w:t>
            </w:r>
          </w:p>
        </w:tc>
        <w:tc>
          <w:tcPr>
            <w:tcW w:w="1360" w:type="dxa"/>
            <w:tcBorders>
              <w:top w:val="nil"/>
              <w:left w:val="nil"/>
              <w:bottom w:val="single" w:color="auto" w:sz="4" w:space="0"/>
              <w:right w:val="nil"/>
            </w:tcBorders>
            <w:shd w:val="clear" w:color="auto" w:fill="auto"/>
            <w:vAlign w:val="center"/>
          </w:tcPr>
          <w:p w14:paraId="7F8AA41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x</w:t>
            </w:r>
            <w:r>
              <w:rPr>
                <w:rFonts w:hint="eastAsia" w:ascii="等线" w:hAnsi="等线" w:eastAsia="等线" w:cs="宋体"/>
                <w:color w:val="000000"/>
                <w:kern w:val="0"/>
                <w:szCs w:val="22"/>
                <w:vertAlign w:val="superscript"/>
                <w14:ligatures w14:val="none"/>
              </w:rPr>
              <w:t>2</w:t>
            </w:r>
          </w:p>
        </w:tc>
        <w:tc>
          <w:tcPr>
            <w:tcW w:w="1140" w:type="dxa"/>
            <w:tcBorders>
              <w:top w:val="nil"/>
              <w:left w:val="nil"/>
              <w:bottom w:val="single" w:color="auto" w:sz="4" w:space="0"/>
              <w:right w:val="nil"/>
            </w:tcBorders>
            <w:shd w:val="clear" w:color="auto" w:fill="auto"/>
            <w:vAlign w:val="center"/>
          </w:tcPr>
          <w:p w14:paraId="04C6D0B8">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p</w:t>
            </w:r>
          </w:p>
        </w:tc>
      </w:tr>
      <w:tr w14:paraId="318AB43B">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29F3230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性别</w:t>
            </w:r>
          </w:p>
        </w:tc>
        <w:tc>
          <w:tcPr>
            <w:tcW w:w="1420" w:type="dxa"/>
            <w:tcBorders>
              <w:top w:val="nil"/>
              <w:left w:val="nil"/>
              <w:bottom w:val="nil"/>
              <w:right w:val="nil"/>
            </w:tcBorders>
            <w:shd w:val="clear" w:color="auto" w:fill="auto"/>
            <w:vAlign w:val="center"/>
          </w:tcPr>
          <w:p w14:paraId="6F93C15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男</w:t>
            </w:r>
          </w:p>
        </w:tc>
        <w:tc>
          <w:tcPr>
            <w:tcW w:w="1540" w:type="dxa"/>
            <w:tcBorders>
              <w:top w:val="nil"/>
              <w:left w:val="nil"/>
              <w:bottom w:val="nil"/>
              <w:right w:val="nil"/>
            </w:tcBorders>
            <w:shd w:val="clear" w:color="auto" w:fill="auto"/>
            <w:vAlign w:val="center"/>
          </w:tcPr>
          <w:p w14:paraId="126D4C3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7</w:t>
            </w:r>
          </w:p>
        </w:tc>
        <w:tc>
          <w:tcPr>
            <w:tcW w:w="1640" w:type="dxa"/>
            <w:tcBorders>
              <w:top w:val="nil"/>
              <w:left w:val="nil"/>
              <w:bottom w:val="nil"/>
              <w:right w:val="nil"/>
            </w:tcBorders>
            <w:shd w:val="clear" w:color="auto" w:fill="auto"/>
            <w:vAlign w:val="center"/>
          </w:tcPr>
          <w:p w14:paraId="0611047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11</w:t>
            </w:r>
          </w:p>
        </w:tc>
        <w:tc>
          <w:tcPr>
            <w:tcW w:w="1360" w:type="dxa"/>
            <w:vMerge w:val="restart"/>
            <w:tcBorders>
              <w:top w:val="nil"/>
              <w:left w:val="nil"/>
              <w:bottom w:val="nil"/>
              <w:right w:val="nil"/>
            </w:tcBorders>
            <w:shd w:val="clear" w:color="auto" w:fill="auto"/>
            <w:vAlign w:val="center"/>
          </w:tcPr>
          <w:p w14:paraId="55E5FF9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0.004 </w:t>
            </w:r>
          </w:p>
        </w:tc>
        <w:tc>
          <w:tcPr>
            <w:tcW w:w="1140" w:type="dxa"/>
            <w:vMerge w:val="restart"/>
            <w:tcBorders>
              <w:top w:val="nil"/>
              <w:left w:val="nil"/>
              <w:bottom w:val="nil"/>
              <w:right w:val="nil"/>
            </w:tcBorders>
            <w:shd w:val="clear" w:color="auto" w:fill="auto"/>
            <w:vAlign w:val="center"/>
          </w:tcPr>
          <w:p w14:paraId="738ADE9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0.948 </w:t>
            </w:r>
          </w:p>
        </w:tc>
      </w:tr>
      <w:tr w14:paraId="38ECCFC0">
        <w:tblPrEx>
          <w:tblLayout w:type="fixed"/>
        </w:tblPrEx>
        <w:trPr>
          <w:trHeight w:val="280" w:hRule="atLeast"/>
        </w:trPr>
        <w:tc>
          <w:tcPr>
            <w:tcW w:w="1710" w:type="dxa"/>
            <w:vMerge w:val="continue"/>
            <w:tcBorders>
              <w:top w:val="nil"/>
              <w:left w:val="nil"/>
              <w:bottom w:val="nil"/>
              <w:right w:val="nil"/>
            </w:tcBorders>
            <w:vAlign w:val="center"/>
          </w:tcPr>
          <w:p w14:paraId="3130FFB2">
            <w:pPr>
              <w:widowControl/>
              <w:spacing w:after="0" w:line="240" w:lineRule="auto"/>
              <w:rPr>
                <w:rFonts w:hint="eastAsia" w:ascii="等线" w:hAnsi="等线" w:eastAsia="等线" w:cs="宋体"/>
                <w:color w:val="000000"/>
                <w:kern w:val="0"/>
                <w:szCs w:val="22"/>
                <w14:ligatures w14:val="none"/>
              </w:rPr>
            </w:pPr>
          </w:p>
        </w:tc>
        <w:tc>
          <w:tcPr>
            <w:tcW w:w="1420" w:type="dxa"/>
            <w:tcBorders>
              <w:top w:val="nil"/>
              <w:left w:val="nil"/>
              <w:bottom w:val="nil"/>
              <w:right w:val="nil"/>
            </w:tcBorders>
            <w:shd w:val="clear" w:color="auto" w:fill="auto"/>
            <w:vAlign w:val="center"/>
          </w:tcPr>
          <w:p w14:paraId="3FCE155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女</w:t>
            </w:r>
          </w:p>
        </w:tc>
        <w:tc>
          <w:tcPr>
            <w:tcW w:w="1540" w:type="dxa"/>
            <w:tcBorders>
              <w:top w:val="nil"/>
              <w:left w:val="nil"/>
              <w:bottom w:val="nil"/>
              <w:right w:val="nil"/>
            </w:tcBorders>
            <w:shd w:val="clear" w:color="auto" w:fill="auto"/>
            <w:vAlign w:val="center"/>
          </w:tcPr>
          <w:p w14:paraId="6015CE5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6</w:t>
            </w:r>
          </w:p>
        </w:tc>
        <w:tc>
          <w:tcPr>
            <w:tcW w:w="1640" w:type="dxa"/>
            <w:tcBorders>
              <w:top w:val="nil"/>
              <w:left w:val="nil"/>
              <w:bottom w:val="nil"/>
              <w:right w:val="nil"/>
            </w:tcBorders>
            <w:shd w:val="clear" w:color="auto" w:fill="auto"/>
            <w:vAlign w:val="center"/>
          </w:tcPr>
          <w:p w14:paraId="3F991B9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9</w:t>
            </w:r>
          </w:p>
        </w:tc>
        <w:tc>
          <w:tcPr>
            <w:tcW w:w="1360" w:type="dxa"/>
            <w:vMerge w:val="continue"/>
            <w:tcBorders>
              <w:top w:val="nil"/>
              <w:left w:val="nil"/>
              <w:bottom w:val="nil"/>
              <w:right w:val="nil"/>
            </w:tcBorders>
            <w:vAlign w:val="center"/>
          </w:tcPr>
          <w:p w14:paraId="6FC38C93">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3BF4C9C1">
            <w:pPr>
              <w:widowControl/>
              <w:spacing w:after="0" w:line="240" w:lineRule="auto"/>
              <w:rPr>
                <w:rFonts w:hint="eastAsia" w:ascii="等线" w:hAnsi="等线" w:eastAsia="等线" w:cs="宋体"/>
                <w:color w:val="000000"/>
                <w:kern w:val="0"/>
                <w:szCs w:val="22"/>
                <w14:ligatures w14:val="none"/>
              </w:rPr>
            </w:pPr>
          </w:p>
        </w:tc>
      </w:tr>
      <w:tr w14:paraId="708A31DE">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6FEABC0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手术部位</w:t>
            </w:r>
            <w:r>
              <w:rPr>
                <w:rFonts w:hint="eastAsia" w:ascii="等线" w:hAnsi="等线" w:eastAsia="等线" w:cs="宋体"/>
                <w:color w:val="000000"/>
                <w:kern w:val="0"/>
                <w:szCs w:val="22"/>
                <w:vertAlign w:val="superscript"/>
                <w14:ligatures w14:val="none"/>
              </w:rPr>
              <w:t>*</w:t>
            </w:r>
          </w:p>
        </w:tc>
        <w:tc>
          <w:tcPr>
            <w:tcW w:w="1420" w:type="dxa"/>
            <w:tcBorders>
              <w:top w:val="nil"/>
              <w:left w:val="nil"/>
              <w:bottom w:val="nil"/>
              <w:right w:val="nil"/>
            </w:tcBorders>
            <w:shd w:val="clear" w:color="auto" w:fill="auto"/>
            <w:vAlign w:val="center"/>
          </w:tcPr>
          <w:p w14:paraId="1B3C837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骶</w:t>
            </w:r>
            <w:r>
              <w:rPr>
                <w:rFonts w:hint="eastAsia" w:ascii="等线" w:hAnsi="等线" w:eastAsia="等线" w:cs="宋体"/>
                <w:color w:val="000000"/>
                <w:kern w:val="0"/>
                <w:szCs w:val="22"/>
                <w14:ligatures w14:val="none"/>
              </w:rPr>
              <w:t>尾部</w:t>
            </w:r>
          </w:p>
        </w:tc>
        <w:tc>
          <w:tcPr>
            <w:tcW w:w="1540" w:type="dxa"/>
            <w:tcBorders>
              <w:top w:val="nil"/>
              <w:left w:val="nil"/>
              <w:bottom w:val="nil"/>
              <w:right w:val="nil"/>
            </w:tcBorders>
            <w:shd w:val="clear" w:color="auto" w:fill="auto"/>
            <w:vAlign w:val="center"/>
          </w:tcPr>
          <w:p w14:paraId="7B8BDF6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6</w:t>
            </w:r>
          </w:p>
        </w:tc>
        <w:tc>
          <w:tcPr>
            <w:tcW w:w="1640" w:type="dxa"/>
            <w:tcBorders>
              <w:top w:val="nil"/>
              <w:left w:val="nil"/>
              <w:bottom w:val="nil"/>
              <w:right w:val="nil"/>
            </w:tcBorders>
            <w:shd w:val="clear" w:color="auto" w:fill="auto"/>
            <w:vAlign w:val="center"/>
          </w:tcPr>
          <w:p w14:paraId="4006E36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16</w:t>
            </w:r>
          </w:p>
        </w:tc>
        <w:tc>
          <w:tcPr>
            <w:tcW w:w="1360" w:type="dxa"/>
            <w:vMerge w:val="restart"/>
            <w:tcBorders>
              <w:top w:val="nil"/>
              <w:left w:val="nil"/>
              <w:bottom w:val="nil"/>
              <w:right w:val="nil"/>
            </w:tcBorders>
            <w:shd w:val="clear" w:color="auto" w:fill="auto"/>
            <w:vAlign w:val="center"/>
          </w:tcPr>
          <w:p w14:paraId="634E2CC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4.062 </w:t>
            </w:r>
          </w:p>
        </w:tc>
        <w:tc>
          <w:tcPr>
            <w:tcW w:w="1140" w:type="dxa"/>
            <w:vMerge w:val="restart"/>
            <w:tcBorders>
              <w:top w:val="nil"/>
              <w:left w:val="nil"/>
              <w:bottom w:val="nil"/>
              <w:right w:val="nil"/>
            </w:tcBorders>
            <w:shd w:val="clear" w:color="auto" w:fill="auto"/>
            <w:vAlign w:val="center"/>
          </w:tcPr>
          <w:p w14:paraId="4919742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0.044 </w:t>
            </w:r>
            <w:r>
              <w:rPr>
                <w:rFonts w:hint="eastAsia" w:ascii="等线" w:hAnsi="等线" w:eastAsia="等线" w:cs="宋体"/>
                <w:color w:val="000000"/>
                <w:kern w:val="0"/>
                <w:szCs w:val="22"/>
                <w:vertAlign w:val="superscript"/>
                <w14:ligatures w14:val="none"/>
              </w:rPr>
              <w:t>*</w:t>
            </w:r>
          </w:p>
        </w:tc>
      </w:tr>
      <w:tr w14:paraId="3F844040">
        <w:tblPrEx>
          <w:tblLayout w:type="fixed"/>
        </w:tblPrEx>
        <w:trPr>
          <w:trHeight w:val="280" w:hRule="atLeast"/>
        </w:trPr>
        <w:tc>
          <w:tcPr>
            <w:tcW w:w="1710" w:type="dxa"/>
            <w:vMerge w:val="continue"/>
            <w:tcBorders>
              <w:top w:val="nil"/>
              <w:left w:val="nil"/>
              <w:bottom w:val="nil"/>
              <w:right w:val="nil"/>
            </w:tcBorders>
            <w:vAlign w:val="center"/>
          </w:tcPr>
          <w:p w14:paraId="00A7FDD9">
            <w:pPr>
              <w:widowControl/>
              <w:spacing w:after="0" w:line="240" w:lineRule="auto"/>
              <w:rPr>
                <w:rFonts w:hint="eastAsia" w:ascii="等线" w:hAnsi="等线" w:eastAsia="等线" w:cs="宋体"/>
                <w:color w:val="000000"/>
                <w:kern w:val="0"/>
                <w:szCs w:val="22"/>
                <w14:ligatures w14:val="none"/>
              </w:rPr>
            </w:pPr>
          </w:p>
        </w:tc>
        <w:tc>
          <w:tcPr>
            <w:tcW w:w="1420" w:type="dxa"/>
            <w:tcBorders>
              <w:top w:val="nil"/>
              <w:left w:val="nil"/>
              <w:bottom w:val="nil"/>
              <w:right w:val="nil"/>
            </w:tcBorders>
            <w:shd w:val="clear" w:color="auto" w:fill="auto"/>
            <w:vAlign w:val="center"/>
          </w:tcPr>
          <w:p w14:paraId="47C22C6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其他</w:t>
            </w:r>
          </w:p>
        </w:tc>
        <w:tc>
          <w:tcPr>
            <w:tcW w:w="1540" w:type="dxa"/>
            <w:tcBorders>
              <w:top w:val="nil"/>
              <w:left w:val="nil"/>
              <w:bottom w:val="nil"/>
              <w:right w:val="nil"/>
            </w:tcBorders>
            <w:shd w:val="clear" w:color="auto" w:fill="auto"/>
            <w:vAlign w:val="center"/>
          </w:tcPr>
          <w:p w14:paraId="7F2E123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7</w:t>
            </w:r>
          </w:p>
        </w:tc>
        <w:tc>
          <w:tcPr>
            <w:tcW w:w="1640" w:type="dxa"/>
            <w:tcBorders>
              <w:top w:val="nil"/>
              <w:left w:val="nil"/>
              <w:bottom w:val="nil"/>
              <w:right w:val="nil"/>
            </w:tcBorders>
            <w:shd w:val="clear" w:color="auto" w:fill="auto"/>
            <w:vAlign w:val="center"/>
          </w:tcPr>
          <w:p w14:paraId="257E4A2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w:t>
            </w:r>
          </w:p>
        </w:tc>
        <w:tc>
          <w:tcPr>
            <w:tcW w:w="1360" w:type="dxa"/>
            <w:vMerge w:val="continue"/>
            <w:tcBorders>
              <w:top w:val="nil"/>
              <w:left w:val="nil"/>
              <w:bottom w:val="nil"/>
              <w:right w:val="nil"/>
            </w:tcBorders>
            <w:vAlign w:val="center"/>
          </w:tcPr>
          <w:p w14:paraId="78F0C483">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47AFD4D1">
            <w:pPr>
              <w:widowControl/>
              <w:spacing w:after="0" w:line="240" w:lineRule="auto"/>
              <w:rPr>
                <w:rFonts w:hint="eastAsia" w:ascii="等线" w:hAnsi="等线" w:eastAsia="等线" w:cs="宋体"/>
                <w:color w:val="000000"/>
                <w:kern w:val="0"/>
                <w:szCs w:val="22"/>
                <w14:ligatures w14:val="none"/>
              </w:rPr>
            </w:pPr>
          </w:p>
        </w:tc>
      </w:tr>
      <w:tr w14:paraId="21FE2F92">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4FA1A76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手术体位</w:t>
            </w:r>
            <w:r>
              <w:rPr>
                <w:rFonts w:hint="eastAsia" w:ascii="等线" w:hAnsi="等线" w:eastAsia="等线" w:cs="宋体"/>
                <w:color w:val="000000"/>
                <w:kern w:val="0"/>
                <w:szCs w:val="22"/>
                <w:vertAlign w:val="superscript"/>
                <w14:ligatures w14:val="none"/>
              </w:rPr>
              <w:t>*</w:t>
            </w:r>
          </w:p>
        </w:tc>
        <w:tc>
          <w:tcPr>
            <w:tcW w:w="1420" w:type="dxa"/>
            <w:tcBorders>
              <w:top w:val="nil"/>
              <w:left w:val="nil"/>
              <w:bottom w:val="nil"/>
              <w:right w:val="nil"/>
            </w:tcBorders>
            <w:shd w:val="clear" w:color="auto" w:fill="auto"/>
            <w:vAlign w:val="center"/>
          </w:tcPr>
          <w:p w14:paraId="07A0C1B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俯卧位</w:t>
            </w:r>
          </w:p>
        </w:tc>
        <w:tc>
          <w:tcPr>
            <w:tcW w:w="1540" w:type="dxa"/>
            <w:tcBorders>
              <w:top w:val="nil"/>
              <w:left w:val="nil"/>
              <w:bottom w:val="nil"/>
              <w:right w:val="nil"/>
            </w:tcBorders>
            <w:shd w:val="clear" w:color="auto" w:fill="auto"/>
            <w:vAlign w:val="center"/>
          </w:tcPr>
          <w:p w14:paraId="3D34370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9</w:t>
            </w:r>
          </w:p>
        </w:tc>
        <w:tc>
          <w:tcPr>
            <w:tcW w:w="1640" w:type="dxa"/>
            <w:tcBorders>
              <w:top w:val="nil"/>
              <w:left w:val="nil"/>
              <w:bottom w:val="nil"/>
              <w:right w:val="nil"/>
            </w:tcBorders>
            <w:shd w:val="clear" w:color="auto" w:fill="auto"/>
            <w:vAlign w:val="center"/>
          </w:tcPr>
          <w:p w14:paraId="17303EE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19</w:t>
            </w:r>
          </w:p>
        </w:tc>
        <w:tc>
          <w:tcPr>
            <w:tcW w:w="1360" w:type="dxa"/>
            <w:vMerge w:val="restart"/>
            <w:tcBorders>
              <w:top w:val="nil"/>
              <w:left w:val="nil"/>
              <w:bottom w:val="nil"/>
              <w:right w:val="nil"/>
            </w:tcBorders>
            <w:shd w:val="clear" w:color="auto" w:fill="auto"/>
            <w:vAlign w:val="center"/>
          </w:tcPr>
          <w:p w14:paraId="30E99CE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4.070 </w:t>
            </w:r>
          </w:p>
        </w:tc>
        <w:tc>
          <w:tcPr>
            <w:tcW w:w="1140" w:type="dxa"/>
            <w:vMerge w:val="restart"/>
            <w:tcBorders>
              <w:top w:val="nil"/>
              <w:left w:val="nil"/>
              <w:bottom w:val="nil"/>
              <w:right w:val="nil"/>
            </w:tcBorders>
            <w:shd w:val="clear" w:color="auto" w:fill="auto"/>
            <w:vAlign w:val="center"/>
          </w:tcPr>
          <w:p w14:paraId="0D34145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0.044 </w:t>
            </w:r>
            <w:r>
              <w:rPr>
                <w:rFonts w:hint="eastAsia" w:ascii="等线" w:hAnsi="等线" w:eastAsia="等线" w:cs="宋体"/>
                <w:color w:val="000000"/>
                <w:kern w:val="0"/>
                <w:szCs w:val="22"/>
                <w:vertAlign w:val="superscript"/>
                <w14:ligatures w14:val="none"/>
              </w:rPr>
              <w:t>*</w:t>
            </w:r>
          </w:p>
        </w:tc>
      </w:tr>
      <w:tr w14:paraId="4CB8A9B2">
        <w:tblPrEx>
          <w:tblLayout w:type="fixed"/>
        </w:tblPrEx>
        <w:trPr>
          <w:trHeight w:val="280" w:hRule="atLeast"/>
        </w:trPr>
        <w:tc>
          <w:tcPr>
            <w:tcW w:w="1710" w:type="dxa"/>
            <w:vMerge w:val="continue"/>
            <w:tcBorders>
              <w:top w:val="nil"/>
              <w:left w:val="nil"/>
              <w:bottom w:val="nil"/>
              <w:right w:val="nil"/>
            </w:tcBorders>
            <w:vAlign w:val="center"/>
          </w:tcPr>
          <w:p w14:paraId="2F73AA37">
            <w:pPr>
              <w:widowControl/>
              <w:spacing w:after="0" w:line="240" w:lineRule="auto"/>
              <w:rPr>
                <w:rFonts w:hint="eastAsia" w:ascii="等线" w:hAnsi="等线" w:eastAsia="等线" w:cs="宋体"/>
                <w:color w:val="000000"/>
                <w:kern w:val="0"/>
                <w:szCs w:val="22"/>
                <w14:ligatures w14:val="none"/>
              </w:rPr>
            </w:pPr>
          </w:p>
        </w:tc>
        <w:tc>
          <w:tcPr>
            <w:tcW w:w="1420" w:type="dxa"/>
            <w:tcBorders>
              <w:top w:val="nil"/>
              <w:left w:val="nil"/>
              <w:bottom w:val="nil"/>
              <w:right w:val="nil"/>
            </w:tcBorders>
            <w:shd w:val="clear" w:color="auto" w:fill="auto"/>
            <w:vAlign w:val="center"/>
          </w:tcPr>
          <w:p w14:paraId="0355BFF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其他</w:t>
            </w:r>
          </w:p>
        </w:tc>
        <w:tc>
          <w:tcPr>
            <w:tcW w:w="1540" w:type="dxa"/>
            <w:tcBorders>
              <w:top w:val="nil"/>
              <w:left w:val="nil"/>
              <w:bottom w:val="nil"/>
              <w:right w:val="nil"/>
            </w:tcBorders>
            <w:shd w:val="clear" w:color="auto" w:fill="auto"/>
            <w:vAlign w:val="center"/>
          </w:tcPr>
          <w:p w14:paraId="0BB26B9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w:t>
            </w:r>
          </w:p>
        </w:tc>
        <w:tc>
          <w:tcPr>
            <w:tcW w:w="1640" w:type="dxa"/>
            <w:tcBorders>
              <w:top w:val="nil"/>
              <w:left w:val="nil"/>
              <w:bottom w:val="nil"/>
              <w:right w:val="nil"/>
            </w:tcBorders>
            <w:shd w:val="clear" w:color="auto" w:fill="auto"/>
            <w:vAlign w:val="center"/>
          </w:tcPr>
          <w:p w14:paraId="56D5E87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w:t>
            </w:r>
          </w:p>
        </w:tc>
        <w:tc>
          <w:tcPr>
            <w:tcW w:w="1360" w:type="dxa"/>
            <w:vMerge w:val="continue"/>
            <w:tcBorders>
              <w:top w:val="nil"/>
              <w:left w:val="nil"/>
              <w:bottom w:val="nil"/>
              <w:right w:val="nil"/>
            </w:tcBorders>
            <w:vAlign w:val="center"/>
          </w:tcPr>
          <w:p w14:paraId="674476BF">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488C62D7">
            <w:pPr>
              <w:widowControl/>
              <w:spacing w:after="0" w:line="240" w:lineRule="auto"/>
              <w:rPr>
                <w:rFonts w:hint="eastAsia" w:ascii="等线" w:hAnsi="等线" w:eastAsia="等线" w:cs="宋体"/>
                <w:color w:val="000000"/>
                <w:kern w:val="0"/>
                <w:szCs w:val="22"/>
                <w14:ligatures w14:val="none"/>
              </w:rPr>
            </w:pPr>
          </w:p>
        </w:tc>
      </w:tr>
      <w:tr w14:paraId="7967DBB4">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6352F87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麻醉分级</w:t>
            </w:r>
          </w:p>
        </w:tc>
        <w:tc>
          <w:tcPr>
            <w:tcW w:w="1420" w:type="dxa"/>
            <w:tcBorders>
              <w:top w:val="nil"/>
              <w:left w:val="nil"/>
              <w:bottom w:val="nil"/>
              <w:right w:val="nil"/>
            </w:tcBorders>
            <w:shd w:val="clear" w:color="auto" w:fill="auto"/>
            <w:vAlign w:val="center"/>
          </w:tcPr>
          <w:p w14:paraId="0112CF2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Ⅰ~Ⅱ</w:t>
            </w:r>
          </w:p>
        </w:tc>
        <w:tc>
          <w:tcPr>
            <w:tcW w:w="1540" w:type="dxa"/>
            <w:tcBorders>
              <w:top w:val="nil"/>
              <w:left w:val="nil"/>
              <w:bottom w:val="nil"/>
              <w:right w:val="nil"/>
            </w:tcBorders>
            <w:shd w:val="clear" w:color="auto" w:fill="auto"/>
            <w:vAlign w:val="center"/>
          </w:tcPr>
          <w:p w14:paraId="49A2413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11</w:t>
            </w:r>
          </w:p>
        </w:tc>
        <w:tc>
          <w:tcPr>
            <w:tcW w:w="1640" w:type="dxa"/>
            <w:tcBorders>
              <w:top w:val="nil"/>
              <w:left w:val="nil"/>
              <w:bottom w:val="nil"/>
              <w:right w:val="nil"/>
            </w:tcBorders>
            <w:shd w:val="clear" w:color="auto" w:fill="auto"/>
            <w:vAlign w:val="center"/>
          </w:tcPr>
          <w:p w14:paraId="70ADD03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18</w:t>
            </w:r>
          </w:p>
        </w:tc>
        <w:tc>
          <w:tcPr>
            <w:tcW w:w="1360" w:type="dxa"/>
            <w:vMerge w:val="restart"/>
            <w:tcBorders>
              <w:top w:val="nil"/>
              <w:left w:val="nil"/>
              <w:bottom w:val="nil"/>
              <w:right w:val="nil"/>
            </w:tcBorders>
            <w:shd w:val="clear" w:color="auto" w:fill="auto"/>
            <w:vAlign w:val="center"/>
          </w:tcPr>
          <w:p w14:paraId="5719105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0.214 </w:t>
            </w:r>
          </w:p>
        </w:tc>
        <w:tc>
          <w:tcPr>
            <w:tcW w:w="1140" w:type="dxa"/>
            <w:vMerge w:val="restart"/>
            <w:tcBorders>
              <w:top w:val="nil"/>
              <w:left w:val="nil"/>
              <w:bottom w:val="nil"/>
              <w:right w:val="nil"/>
            </w:tcBorders>
            <w:shd w:val="clear" w:color="auto" w:fill="auto"/>
            <w:vAlign w:val="center"/>
          </w:tcPr>
          <w:p w14:paraId="7793BA8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0.643 </w:t>
            </w:r>
          </w:p>
        </w:tc>
      </w:tr>
      <w:tr w14:paraId="6D8215A3">
        <w:tblPrEx>
          <w:tblLayout w:type="fixed"/>
        </w:tblPrEx>
        <w:trPr>
          <w:trHeight w:val="280" w:hRule="atLeast"/>
        </w:trPr>
        <w:tc>
          <w:tcPr>
            <w:tcW w:w="1710" w:type="dxa"/>
            <w:vMerge w:val="continue"/>
            <w:tcBorders>
              <w:top w:val="nil"/>
              <w:left w:val="nil"/>
              <w:bottom w:val="nil"/>
              <w:right w:val="nil"/>
            </w:tcBorders>
            <w:vAlign w:val="center"/>
          </w:tcPr>
          <w:p w14:paraId="2064829A">
            <w:pPr>
              <w:widowControl/>
              <w:spacing w:after="0" w:line="240" w:lineRule="auto"/>
              <w:rPr>
                <w:rFonts w:hint="eastAsia" w:ascii="等线" w:hAnsi="等线" w:eastAsia="等线" w:cs="宋体"/>
                <w:color w:val="000000"/>
                <w:kern w:val="0"/>
                <w:szCs w:val="22"/>
                <w14:ligatures w14:val="none"/>
              </w:rPr>
            </w:pPr>
          </w:p>
        </w:tc>
        <w:tc>
          <w:tcPr>
            <w:tcW w:w="1420" w:type="dxa"/>
            <w:tcBorders>
              <w:top w:val="nil"/>
              <w:left w:val="nil"/>
              <w:bottom w:val="nil"/>
              <w:right w:val="nil"/>
            </w:tcBorders>
            <w:shd w:val="clear" w:color="auto" w:fill="auto"/>
            <w:vAlign w:val="center"/>
          </w:tcPr>
          <w:p w14:paraId="4AF30B5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Ⅲ~Ⅳ</w:t>
            </w:r>
          </w:p>
        </w:tc>
        <w:tc>
          <w:tcPr>
            <w:tcW w:w="1540" w:type="dxa"/>
            <w:tcBorders>
              <w:top w:val="nil"/>
              <w:left w:val="nil"/>
              <w:bottom w:val="nil"/>
              <w:right w:val="nil"/>
            </w:tcBorders>
            <w:shd w:val="clear" w:color="auto" w:fill="auto"/>
            <w:vAlign w:val="center"/>
          </w:tcPr>
          <w:p w14:paraId="6905CCD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w:t>
            </w:r>
          </w:p>
        </w:tc>
        <w:tc>
          <w:tcPr>
            <w:tcW w:w="1640" w:type="dxa"/>
            <w:tcBorders>
              <w:top w:val="nil"/>
              <w:left w:val="nil"/>
              <w:bottom w:val="nil"/>
              <w:right w:val="nil"/>
            </w:tcBorders>
            <w:shd w:val="clear" w:color="auto" w:fill="auto"/>
            <w:vAlign w:val="center"/>
          </w:tcPr>
          <w:p w14:paraId="1E90003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w:t>
            </w:r>
          </w:p>
        </w:tc>
        <w:tc>
          <w:tcPr>
            <w:tcW w:w="1360" w:type="dxa"/>
            <w:vMerge w:val="continue"/>
            <w:tcBorders>
              <w:top w:val="nil"/>
              <w:left w:val="nil"/>
              <w:bottom w:val="nil"/>
              <w:right w:val="nil"/>
            </w:tcBorders>
            <w:vAlign w:val="center"/>
          </w:tcPr>
          <w:p w14:paraId="1565FD7A">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04B9F895">
            <w:pPr>
              <w:widowControl/>
              <w:spacing w:after="0" w:line="240" w:lineRule="auto"/>
              <w:rPr>
                <w:rFonts w:hint="eastAsia" w:ascii="等线" w:hAnsi="等线" w:eastAsia="等线" w:cs="宋体"/>
                <w:color w:val="000000"/>
                <w:kern w:val="0"/>
                <w:szCs w:val="22"/>
                <w14:ligatures w14:val="none"/>
              </w:rPr>
            </w:pPr>
          </w:p>
        </w:tc>
      </w:tr>
      <w:tr w14:paraId="671F0641">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3285002F">
            <w:pPr>
              <w:widowControl/>
              <w:spacing w:after="0" w:line="240" w:lineRule="auto"/>
              <w:jc w:val="center"/>
              <w:rPr>
                <w:rFonts w:hint="eastAsia" w:ascii="宋体" w:hAnsi="宋体" w:eastAsia="宋体" w:cs="宋体"/>
                <w:color w:val="000000"/>
                <w:kern w:val="0"/>
                <w:sz w:val="21"/>
                <w:szCs w:val="21"/>
                <w14:ligatures w14:val="none"/>
              </w:rPr>
            </w:pPr>
            <w:r>
              <w:rPr>
                <w:rFonts w:hint="eastAsia" w:ascii="宋体" w:hAnsi="宋体" w:eastAsia="宋体" w:cs="宋体"/>
                <w:color w:val="000000"/>
                <w:kern w:val="0"/>
                <w:sz w:val="21"/>
                <w:szCs w:val="21"/>
                <w14:ligatures w14:val="none"/>
              </w:rPr>
              <w:t>肿瘤分类</w:t>
            </w:r>
          </w:p>
        </w:tc>
        <w:tc>
          <w:tcPr>
            <w:tcW w:w="1420" w:type="dxa"/>
            <w:tcBorders>
              <w:top w:val="nil"/>
              <w:left w:val="nil"/>
              <w:bottom w:val="nil"/>
              <w:right w:val="nil"/>
            </w:tcBorders>
            <w:shd w:val="clear" w:color="auto" w:fill="auto"/>
            <w:vAlign w:val="center"/>
          </w:tcPr>
          <w:p w14:paraId="3364C93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良性</w:t>
            </w:r>
          </w:p>
        </w:tc>
        <w:tc>
          <w:tcPr>
            <w:tcW w:w="1540" w:type="dxa"/>
            <w:tcBorders>
              <w:top w:val="nil"/>
              <w:left w:val="nil"/>
              <w:bottom w:val="nil"/>
              <w:right w:val="nil"/>
            </w:tcBorders>
            <w:shd w:val="clear" w:color="auto" w:fill="auto"/>
            <w:vAlign w:val="center"/>
          </w:tcPr>
          <w:p w14:paraId="3C87268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7</w:t>
            </w:r>
          </w:p>
        </w:tc>
        <w:tc>
          <w:tcPr>
            <w:tcW w:w="1640" w:type="dxa"/>
            <w:tcBorders>
              <w:top w:val="nil"/>
              <w:left w:val="nil"/>
              <w:bottom w:val="nil"/>
              <w:right w:val="nil"/>
            </w:tcBorders>
            <w:shd w:val="clear" w:color="auto" w:fill="auto"/>
            <w:vAlign w:val="center"/>
          </w:tcPr>
          <w:p w14:paraId="27DDFF0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w:t>
            </w:r>
          </w:p>
        </w:tc>
        <w:tc>
          <w:tcPr>
            <w:tcW w:w="1360" w:type="dxa"/>
            <w:vMerge w:val="restart"/>
            <w:tcBorders>
              <w:top w:val="nil"/>
              <w:left w:val="nil"/>
              <w:bottom w:val="nil"/>
              <w:right w:val="nil"/>
            </w:tcBorders>
            <w:shd w:val="clear" w:color="auto" w:fill="auto"/>
            <w:vAlign w:val="center"/>
          </w:tcPr>
          <w:p w14:paraId="0A8E992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0.122 </w:t>
            </w:r>
          </w:p>
        </w:tc>
        <w:tc>
          <w:tcPr>
            <w:tcW w:w="1140" w:type="dxa"/>
            <w:vMerge w:val="restart"/>
            <w:tcBorders>
              <w:top w:val="nil"/>
              <w:left w:val="nil"/>
              <w:bottom w:val="nil"/>
              <w:right w:val="nil"/>
            </w:tcBorders>
            <w:shd w:val="clear" w:color="auto" w:fill="auto"/>
            <w:vAlign w:val="center"/>
          </w:tcPr>
          <w:p w14:paraId="1B96113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0.727 </w:t>
            </w:r>
          </w:p>
        </w:tc>
      </w:tr>
      <w:tr w14:paraId="2C9F79B7">
        <w:tblPrEx>
          <w:tblLayout w:type="fixed"/>
        </w:tblPrEx>
        <w:trPr>
          <w:trHeight w:val="280" w:hRule="atLeast"/>
        </w:trPr>
        <w:tc>
          <w:tcPr>
            <w:tcW w:w="1710" w:type="dxa"/>
            <w:vMerge w:val="continue"/>
            <w:tcBorders>
              <w:top w:val="nil"/>
              <w:left w:val="nil"/>
              <w:bottom w:val="nil"/>
              <w:right w:val="nil"/>
            </w:tcBorders>
            <w:vAlign w:val="center"/>
          </w:tcPr>
          <w:p w14:paraId="2C3FC9F3">
            <w:pPr>
              <w:widowControl/>
              <w:spacing w:after="0" w:line="240" w:lineRule="auto"/>
              <w:rPr>
                <w:rFonts w:hint="eastAsia" w:ascii="宋体" w:hAnsi="宋体" w:eastAsia="宋体" w:cs="宋体"/>
                <w:color w:val="000000"/>
                <w:kern w:val="0"/>
                <w:sz w:val="21"/>
                <w:szCs w:val="21"/>
                <w14:ligatures w14:val="none"/>
              </w:rPr>
            </w:pPr>
          </w:p>
        </w:tc>
        <w:tc>
          <w:tcPr>
            <w:tcW w:w="1420" w:type="dxa"/>
            <w:tcBorders>
              <w:top w:val="nil"/>
              <w:left w:val="nil"/>
              <w:bottom w:val="nil"/>
              <w:right w:val="nil"/>
            </w:tcBorders>
            <w:shd w:val="clear" w:color="auto" w:fill="auto"/>
            <w:vAlign w:val="center"/>
          </w:tcPr>
          <w:p w14:paraId="26333D0E">
            <w:pPr>
              <w:widowControl/>
              <w:spacing w:after="0" w:line="240" w:lineRule="auto"/>
              <w:jc w:val="center"/>
              <w:rPr>
                <w:rFonts w:hint="eastAsia" w:ascii="宋体" w:hAnsi="宋体" w:eastAsia="宋体" w:cs="宋体"/>
                <w:color w:val="000000"/>
                <w:kern w:val="0"/>
                <w:sz w:val="21"/>
                <w:szCs w:val="21"/>
                <w14:ligatures w14:val="none"/>
              </w:rPr>
            </w:pPr>
            <w:r>
              <w:rPr>
                <w:rFonts w:hint="eastAsia" w:ascii="宋体" w:hAnsi="宋体" w:eastAsia="宋体" w:cs="宋体"/>
                <w:color w:val="000000"/>
                <w:kern w:val="0"/>
                <w:sz w:val="21"/>
                <w:szCs w:val="21"/>
                <w14:ligatures w14:val="none"/>
              </w:rPr>
              <w:t xml:space="preserve">恶性 </w:t>
            </w:r>
          </w:p>
        </w:tc>
        <w:tc>
          <w:tcPr>
            <w:tcW w:w="1540" w:type="dxa"/>
            <w:tcBorders>
              <w:top w:val="nil"/>
              <w:left w:val="nil"/>
              <w:bottom w:val="nil"/>
              <w:right w:val="nil"/>
            </w:tcBorders>
            <w:shd w:val="clear" w:color="auto" w:fill="auto"/>
            <w:vAlign w:val="center"/>
          </w:tcPr>
          <w:p w14:paraId="16BA0A6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6</w:t>
            </w:r>
          </w:p>
        </w:tc>
        <w:tc>
          <w:tcPr>
            <w:tcW w:w="1640" w:type="dxa"/>
            <w:tcBorders>
              <w:top w:val="nil"/>
              <w:left w:val="nil"/>
              <w:bottom w:val="nil"/>
              <w:right w:val="nil"/>
            </w:tcBorders>
            <w:shd w:val="clear" w:color="auto" w:fill="auto"/>
            <w:vAlign w:val="center"/>
          </w:tcPr>
          <w:p w14:paraId="7A2D830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8</w:t>
            </w:r>
          </w:p>
        </w:tc>
        <w:tc>
          <w:tcPr>
            <w:tcW w:w="1360" w:type="dxa"/>
            <w:vMerge w:val="continue"/>
            <w:tcBorders>
              <w:top w:val="nil"/>
              <w:left w:val="nil"/>
              <w:bottom w:val="nil"/>
              <w:right w:val="nil"/>
            </w:tcBorders>
            <w:vAlign w:val="center"/>
          </w:tcPr>
          <w:p w14:paraId="3F08A88B">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4A369FDB">
            <w:pPr>
              <w:widowControl/>
              <w:spacing w:after="0" w:line="240" w:lineRule="auto"/>
              <w:rPr>
                <w:rFonts w:hint="eastAsia" w:ascii="等线" w:hAnsi="等线" w:eastAsia="等线" w:cs="宋体"/>
                <w:color w:val="000000"/>
                <w:kern w:val="0"/>
                <w:szCs w:val="22"/>
                <w14:ligatures w14:val="none"/>
              </w:rPr>
            </w:pPr>
          </w:p>
        </w:tc>
      </w:tr>
      <w:tr w14:paraId="76E76F41">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7D0D1D32">
            <w:pPr>
              <w:widowControl/>
              <w:spacing w:after="0" w:line="240" w:lineRule="auto"/>
              <w:jc w:val="center"/>
              <w:rPr>
                <w:rFonts w:hint="eastAsia" w:ascii="宋体" w:hAnsi="宋体" w:eastAsia="宋体" w:cs="宋体"/>
                <w:color w:val="000000"/>
                <w:kern w:val="0"/>
                <w:sz w:val="21"/>
                <w:szCs w:val="21"/>
                <w14:ligatures w14:val="none"/>
              </w:rPr>
            </w:pPr>
            <w:r>
              <w:rPr>
                <w:rFonts w:hint="eastAsia" w:ascii="宋体" w:hAnsi="宋体" w:eastAsia="宋体" w:cs="宋体"/>
                <w:color w:val="000000"/>
                <w:kern w:val="0"/>
                <w:sz w:val="21"/>
                <w:szCs w:val="21"/>
                <w14:ligatures w14:val="none"/>
              </w:rPr>
              <w:t>是否有计算机导航</w:t>
            </w:r>
          </w:p>
        </w:tc>
        <w:tc>
          <w:tcPr>
            <w:tcW w:w="1420" w:type="dxa"/>
            <w:tcBorders>
              <w:top w:val="nil"/>
              <w:left w:val="nil"/>
              <w:bottom w:val="nil"/>
              <w:right w:val="nil"/>
            </w:tcBorders>
            <w:shd w:val="clear" w:color="auto" w:fill="auto"/>
            <w:vAlign w:val="center"/>
          </w:tcPr>
          <w:p w14:paraId="7B25FE72">
            <w:pPr>
              <w:widowControl/>
              <w:spacing w:after="0" w:line="240" w:lineRule="auto"/>
              <w:jc w:val="center"/>
              <w:rPr>
                <w:rFonts w:hint="eastAsia" w:ascii="宋体" w:hAnsi="宋体" w:eastAsia="宋体" w:cs="宋体"/>
                <w:color w:val="000000"/>
                <w:kern w:val="0"/>
                <w:sz w:val="21"/>
                <w:szCs w:val="21"/>
                <w14:ligatures w14:val="none"/>
              </w:rPr>
            </w:pPr>
            <w:r>
              <w:rPr>
                <w:rFonts w:hint="eastAsia" w:ascii="宋体" w:hAnsi="宋体" w:eastAsia="宋体" w:cs="宋体"/>
                <w:color w:val="000000"/>
                <w:kern w:val="0"/>
                <w:sz w:val="21"/>
                <w:szCs w:val="21"/>
                <w14:ligatures w14:val="none"/>
              </w:rPr>
              <w:t>有</w:t>
            </w:r>
          </w:p>
        </w:tc>
        <w:tc>
          <w:tcPr>
            <w:tcW w:w="1540" w:type="dxa"/>
            <w:tcBorders>
              <w:top w:val="nil"/>
              <w:left w:val="nil"/>
              <w:bottom w:val="nil"/>
              <w:right w:val="nil"/>
            </w:tcBorders>
            <w:shd w:val="clear" w:color="auto" w:fill="auto"/>
            <w:vAlign w:val="center"/>
          </w:tcPr>
          <w:p w14:paraId="7B9F623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w:t>
            </w:r>
          </w:p>
        </w:tc>
        <w:tc>
          <w:tcPr>
            <w:tcW w:w="1640" w:type="dxa"/>
            <w:tcBorders>
              <w:top w:val="nil"/>
              <w:left w:val="nil"/>
              <w:bottom w:val="nil"/>
              <w:right w:val="nil"/>
            </w:tcBorders>
            <w:shd w:val="clear" w:color="auto" w:fill="auto"/>
            <w:vAlign w:val="center"/>
          </w:tcPr>
          <w:p w14:paraId="2C8782C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8</w:t>
            </w:r>
          </w:p>
        </w:tc>
        <w:tc>
          <w:tcPr>
            <w:tcW w:w="1360" w:type="dxa"/>
            <w:vMerge w:val="restart"/>
            <w:tcBorders>
              <w:top w:val="nil"/>
              <w:left w:val="nil"/>
              <w:bottom w:val="nil"/>
              <w:right w:val="nil"/>
            </w:tcBorders>
            <w:shd w:val="clear" w:color="auto" w:fill="auto"/>
            <w:vAlign w:val="center"/>
          </w:tcPr>
          <w:p w14:paraId="65B0684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0.290 </w:t>
            </w:r>
          </w:p>
        </w:tc>
        <w:tc>
          <w:tcPr>
            <w:tcW w:w="1140" w:type="dxa"/>
            <w:vMerge w:val="restart"/>
            <w:tcBorders>
              <w:top w:val="nil"/>
              <w:left w:val="nil"/>
              <w:bottom w:val="nil"/>
              <w:right w:val="nil"/>
            </w:tcBorders>
            <w:shd w:val="clear" w:color="auto" w:fill="auto"/>
            <w:vAlign w:val="center"/>
          </w:tcPr>
          <w:p w14:paraId="3B9C514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0.590 </w:t>
            </w:r>
          </w:p>
        </w:tc>
      </w:tr>
      <w:tr w14:paraId="1AAB0497">
        <w:tblPrEx>
          <w:tblLayout w:type="fixed"/>
        </w:tblPrEx>
        <w:trPr>
          <w:trHeight w:val="280" w:hRule="atLeast"/>
        </w:trPr>
        <w:tc>
          <w:tcPr>
            <w:tcW w:w="1710" w:type="dxa"/>
            <w:vMerge w:val="continue"/>
            <w:tcBorders>
              <w:top w:val="nil"/>
              <w:left w:val="nil"/>
              <w:bottom w:val="nil"/>
              <w:right w:val="nil"/>
            </w:tcBorders>
            <w:vAlign w:val="center"/>
          </w:tcPr>
          <w:p w14:paraId="27A3F59E">
            <w:pPr>
              <w:widowControl/>
              <w:spacing w:after="0" w:line="240" w:lineRule="auto"/>
              <w:rPr>
                <w:rFonts w:hint="eastAsia" w:ascii="宋体" w:hAnsi="宋体" w:eastAsia="宋体" w:cs="宋体"/>
                <w:color w:val="000000"/>
                <w:kern w:val="0"/>
                <w:sz w:val="21"/>
                <w:szCs w:val="21"/>
                <w14:ligatures w14:val="none"/>
              </w:rPr>
            </w:pPr>
          </w:p>
        </w:tc>
        <w:tc>
          <w:tcPr>
            <w:tcW w:w="1420" w:type="dxa"/>
            <w:tcBorders>
              <w:top w:val="nil"/>
              <w:left w:val="nil"/>
              <w:bottom w:val="nil"/>
              <w:right w:val="nil"/>
            </w:tcBorders>
            <w:shd w:val="clear" w:color="auto" w:fill="auto"/>
            <w:vAlign w:val="center"/>
          </w:tcPr>
          <w:p w14:paraId="5812828B">
            <w:pPr>
              <w:widowControl/>
              <w:spacing w:after="0" w:line="240" w:lineRule="auto"/>
              <w:jc w:val="center"/>
              <w:rPr>
                <w:rFonts w:hint="eastAsia" w:ascii="宋体" w:hAnsi="宋体" w:eastAsia="宋体" w:cs="宋体"/>
                <w:color w:val="000000"/>
                <w:kern w:val="0"/>
                <w:sz w:val="21"/>
                <w:szCs w:val="21"/>
                <w14:ligatures w14:val="none"/>
              </w:rPr>
            </w:pPr>
            <w:r>
              <w:rPr>
                <w:rFonts w:hint="eastAsia" w:ascii="宋体" w:hAnsi="宋体" w:eastAsia="宋体" w:cs="宋体"/>
                <w:color w:val="000000"/>
                <w:kern w:val="0"/>
                <w:sz w:val="21"/>
                <w:szCs w:val="21"/>
                <w14:ligatures w14:val="none"/>
              </w:rPr>
              <w:t>无</w:t>
            </w:r>
          </w:p>
        </w:tc>
        <w:tc>
          <w:tcPr>
            <w:tcW w:w="1540" w:type="dxa"/>
            <w:tcBorders>
              <w:top w:val="nil"/>
              <w:left w:val="nil"/>
              <w:bottom w:val="nil"/>
              <w:right w:val="nil"/>
            </w:tcBorders>
            <w:shd w:val="clear" w:color="auto" w:fill="auto"/>
            <w:vAlign w:val="center"/>
          </w:tcPr>
          <w:p w14:paraId="5926E7A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9</w:t>
            </w:r>
          </w:p>
        </w:tc>
        <w:tc>
          <w:tcPr>
            <w:tcW w:w="1640" w:type="dxa"/>
            <w:tcBorders>
              <w:top w:val="nil"/>
              <w:left w:val="nil"/>
              <w:bottom w:val="nil"/>
              <w:right w:val="nil"/>
            </w:tcBorders>
            <w:shd w:val="clear" w:color="auto" w:fill="auto"/>
            <w:vAlign w:val="center"/>
          </w:tcPr>
          <w:p w14:paraId="44921E1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w:t>
            </w:r>
          </w:p>
        </w:tc>
        <w:tc>
          <w:tcPr>
            <w:tcW w:w="1360" w:type="dxa"/>
            <w:vMerge w:val="continue"/>
            <w:tcBorders>
              <w:top w:val="nil"/>
              <w:left w:val="nil"/>
              <w:bottom w:val="nil"/>
              <w:right w:val="nil"/>
            </w:tcBorders>
            <w:vAlign w:val="center"/>
          </w:tcPr>
          <w:p w14:paraId="3498BD62">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62A62374">
            <w:pPr>
              <w:widowControl/>
              <w:spacing w:after="0" w:line="240" w:lineRule="auto"/>
              <w:rPr>
                <w:rFonts w:hint="eastAsia" w:ascii="等线" w:hAnsi="等线" w:eastAsia="等线" w:cs="宋体"/>
                <w:color w:val="000000"/>
                <w:kern w:val="0"/>
                <w:szCs w:val="22"/>
                <w14:ligatures w14:val="none"/>
              </w:rPr>
            </w:pPr>
          </w:p>
        </w:tc>
      </w:tr>
      <w:tr w14:paraId="3F6221DB">
        <w:tblPrEx>
          <w:tblLayout w:type="fixed"/>
        </w:tblPrEx>
        <w:trPr>
          <w:trHeight w:val="280" w:hRule="atLeast"/>
        </w:trPr>
        <w:tc>
          <w:tcPr>
            <w:tcW w:w="1710" w:type="dxa"/>
            <w:vMerge w:val="restart"/>
            <w:tcBorders>
              <w:top w:val="nil"/>
              <w:left w:val="nil"/>
              <w:bottom w:val="nil"/>
              <w:right w:val="nil"/>
            </w:tcBorders>
            <w:shd w:val="clear" w:color="auto" w:fill="auto"/>
            <w:vAlign w:val="center"/>
          </w:tcPr>
          <w:p w14:paraId="2DDBDA7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手术方式</w:t>
            </w:r>
          </w:p>
        </w:tc>
        <w:tc>
          <w:tcPr>
            <w:tcW w:w="1420" w:type="dxa"/>
            <w:tcBorders>
              <w:top w:val="nil"/>
              <w:left w:val="nil"/>
              <w:bottom w:val="nil"/>
              <w:right w:val="nil"/>
            </w:tcBorders>
            <w:shd w:val="clear" w:color="auto" w:fill="auto"/>
            <w:vAlign w:val="center"/>
          </w:tcPr>
          <w:p w14:paraId="6658D74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切除</w:t>
            </w:r>
          </w:p>
        </w:tc>
        <w:tc>
          <w:tcPr>
            <w:tcW w:w="1540" w:type="dxa"/>
            <w:tcBorders>
              <w:top w:val="nil"/>
              <w:left w:val="nil"/>
              <w:bottom w:val="nil"/>
              <w:right w:val="nil"/>
            </w:tcBorders>
            <w:shd w:val="clear" w:color="auto" w:fill="auto"/>
            <w:vAlign w:val="center"/>
          </w:tcPr>
          <w:p w14:paraId="7946B22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w:t>
            </w:r>
          </w:p>
        </w:tc>
        <w:tc>
          <w:tcPr>
            <w:tcW w:w="1640" w:type="dxa"/>
            <w:tcBorders>
              <w:top w:val="nil"/>
              <w:left w:val="nil"/>
              <w:bottom w:val="nil"/>
              <w:right w:val="nil"/>
            </w:tcBorders>
            <w:shd w:val="clear" w:color="auto" w:fill="auto"/>
            <w:vAlign w:val="center"/>
          </w:tcPr>
          <w:p w14:paraId="282D5E5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18</w:t>
            </w:r>
          </w:p>
        </w:tc>
        <w:tc>
          <w:tcPr>
            <w:tcW w:w="1360" w:type="dxa"/>
            <w:vMerge w:val="restart"/>
            <w:tcBorders>
              <w:top w:val="nil"/>
              <w:left w:val="nil"/>
              <w:bottom w:val="nil"/>
              <w:right w:val="nil"/>
            </w:tcBorders>
            <w:shd w:val="clear" w:color="auto" w:fill="auto"/>
            <w:vAlign w:val="center"/>
          </w:tcPr>
          <w:p w14:paraId="6F88A68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0.510 </w:t>
            </w:r>
          </w:p>
        </w:tc>
        <w:tc>
          <w:tcPr>
            <w:tcW w:w="1140" w:type="dxa"/>
            <w:vMerge w:val="restart"/>
            <w:tcBorders>
              <w:top w:val="nil"/>
              <w:left w:val="nil"/>
              <w:bottom w:val="nil"/>
              <w:right w:val="nil"/>
            </w:tcBorders>
            <w:shd w:val="clear" w:color="auto" w:fill="auto"/>
            <w:vAlign w:val="center"/>
          </w:tcPr>
          <w:p w14:paraId="6869D6C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0.822 </w:t>
            </w:r>
          </w:p>
        </w:tc>
      </w:tr>
      <w:tr w14:paraId="11D2A7A6">
        <w:tblPrEx>
          <w:tblLayout w:type="fixed"/>
        </w:tblPrEx>
        <w:trPr>
          <w:trHeight w:val="280" w:hRule="atLeast"/>
        </w:trPr>
        <w:tc>
          <w:tcPr>
            <w:tcW w:w="1710" w:type="dxa"/>
            <w:vMerge w:val="continue"/>
            <w:tcBorders>
              <w:top w:val="nil"/>
              <w:left w:val="nil"/>
              <w:bottom w:val="nil"/>
              <w:right w:val="nil"/>
            </w:tcBorders>
            <w:vAlign w:val="center"/>
          </w:tcPr>
          <w:p w14:paraId="32B9AEEB">
            <w:pPr>
              <w:widowControl/>
              <w:spacing w:after="0" w:line="240" w:lineRule="auto"/>
              <w:rPr>
                <w:rFonts w:hint="eastAsia" w:ascii="等线" w:hAnsi="等线" w:eastAsia="等线" w:cs="宋体"/>
                <w:color w:val="000000"/>
                <w:kern w:val="0"/>
                <w:szCs w:val="22"/>
                <w14:ligatures w14:val="none"/>
              </w:rPr>
            </w:pPr>
          </w:p>
        </w:tc>
        <w:tc>
          <w:tcPr>
            <w:tcW w:w="1420" w:type="dxa"/>
            <w:tcBorders>
              <w:top w:val="nil"/>
              <w:left w:val="nil"/>
              <w:bottom w:val="nil"/>
              <w:right w:val="nil"/>
            </w:tcBorders>
            <w:shd w:val="clear" w:color="auto" w:fill="auto"/>
            <w:vAlign w:val="center"/>
          </w:tcPr>
          <w:p w14:paraId="1878377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其他</w:t>
            </w:r>
          </w:p>
        </w:tc>
        <w:tc>
          <w:tcPr>
            <w:tcW w:w="1540" w:type="dxa"/>
            <w:tcBorders>
              <w:top w:val="nil"/>
              <w:left w:val="nil"/>
              <w:bottom w:val="nil"/>
              <w:right w:val="nil"/>
            </w:tcBorders>
            <w:shd w:val="clear" w:color="auto" w:fill="auto"/>
            <w:vAlign w:val="center"/>
          </w:tcPr>
          <w:p w14:paraId="56F50F7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w:t>
            </w:r>
          </w:p>
        </w:tc>
        <w:tc>
          <w:tcPr>
            <w:tcW w:w="1640" w:type="dxa"/>
            <w:tcBorders>
              <w:top w:val="nil"/>
              <w:left w:val="nil"/>
              <w:bottom w:val="nil"/>
              <w:right w:val="nil"/>
            </w:tcBorders>
            <w:shd w:val="clear" w:color="auto" w:fill="auto"/>
            <w:vAlign w:val="center"/>
          </w:tcPr>
          <w:p w14:paraId="125E773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w:t>
            </w:r>
          </w:p>
        </w:tc>
        <w:tc>
          <w:tcPr>
            <w:tcW w:w="1360" w:type="dxa"/>
            <w:vMerge w:val="continue"/>
            <w:tcBorders>
              <w:top w:val="nil"/>
              <w:left w:val="nil"/>
              <w:bottom w:val="nil"/>
              <w:right w:val="nil"/>
            </w:tcBorders>
            <w:vAlign w:val="center"/>
          </w:tcPr>
          <w:p w14:paraId="4D110513">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nil"/>
              <w:right w:val="nil"/>
            </w:tcBorders>
            <w:vAlign w:val="center"/>
          </w:tcPr>
          <w:p w14:paraId="20FC804C">
            <w:pPr>
              <w:widowControl/>
              <w:spacing w:after="0" w:line="240" w:lineRule="auto"/>
              <w:rPr>
                <w:rFonts w:hint="eastAsia" w:ascii="等线" w:hAnsi="等线" w:eastAsia="等线" w:cs="宋体"/>
                <w:color w:val="000000"/>
                <w:kern w:val="0"/>
                <w:szCs w:val="22"/>
                <w14:ligatures w14:val="none"/>
              </w:rPr>
            </w:pPr>
          </w:p>
        </w:tc>
      </w:tr>
      <w:tr w14:paraId="2A5EA438">
        <w:tblPrEx>
          <w:tblLayout w:type="fixed"/>
        </w:tblPrEx>
        <w:trPr>
          <w:trHeight w:val="280" w:hRule="atLeast"/>
        </w:trPr>
        <w:tc>
          <w:tcPr>
            <w:tcW w:w="1710" w:type="dxa"/>
            <w:tcBorders>
              <w:top w:val="nil"/>
              <w:left w:val="nil"/>
              <w:bottom w:val="nil"/>
              <w:right w:val="nil"/>
            </w:tcBorders>
            <w:shd w:val="clear" w:color="auto" w:fill="auto"/>
            <w:vAlign w:val="center"/>
          </w:tcPr>
          <w:p w14:paraId="59763C1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高危因素</w:t>
            </w:r>
          </w:p>
        </w:tc>
        <w:tc>
          <w:tcPr>
            <w:tcW w:w="1420" w:type="dxa"/>
            <w:tcBorders>
              <w:top w:val="nil"/>
              <w:left w:val="nil"/>
              <w:bottom w:val="nil"/>
              <w:right w:val="nil"/>
            </w:tcBorders>
            <w:shd w:val="clear" w:color="auto" w:fill="auto"/>
            <w:vAlign w:val="center"/>
          </w:tcPr>
          <w:p w14:paraId="27EBD4F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有</w:t>
            </w:r>
          </w:p>
        </w:tc>
        <w:tc>
          <w:tcPr>
            <w:tcW w:w="1540" w:type="dxa"/>
            <w:tcBorders>
              <w:top w:val="nil"/>
              <w:left w:val="nil"/>
              <w:bottom w:val="nil"/>
              <w:right w:val="nil"/>
            </w:tcBorders>
            <w:shd w:val="clear" w:color="auto" w:fill="auto"/>
            <w:vAlign w:val="center"/>
          </w:tcPr>
          <w:p w14:paraId="1D569BD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w:t>
            </w:r>
          </w:p>
        </w:tc>
        <w:tc>
          <w:tcPr>
            <w:tcW w:w="1640" w:type="dxa"/>
            <w:tcBorders>
              <w:top w:val="nil"/>
              <w:left w:val="nil"/>
              <w:bottom w:val="nil"/>
              <w:right w:val="nil"/>
            </w:tcBorders>
            <w:shd w:val="clear" w:color="auto" w:fill="auto"/>
            <w:vAlign w:val="center"/>
          </w:tcPr>
          <w:p w14:paraId="1EA56E3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w:t>
            </w:r>
          </w:p>
        </w:tc>
        <w:tc>
          <w:tcPr>
            <w:tcW w:w="1360" w:type="dxa"/>
            <w:vMerge w:val="restart"/>
            <w:tcBorders>
              <w:top w:val="nil"/>
              <w:left w:val="nil"/>
              <w:bottom w:val="single" w:color="000000" w:sz="4" w:space="0"/>
              <w:right w:val="nil"/>
            </w:tcBorders>
            <w:shd w:val="clear" w:color="auto" w:fill="auto"/>
            <w:vAlign w:val="center"/>
          </w:tcPr>
          <w:p w14:paraId="4B81BEB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2.959 </w:t>
            </w:r>
          </w:p>
        </w:tc>
        <w:tc>
          <w:tcPr>
            <w:tcW w:w="1140" w:type="dxa"/>
            <w:vMerge w:val="restart"/>
            <w:tcBorders>
              <w:top w:val="nil"/>
              <w:left w:val="nil"/>
              <w:bottom w:val="single" w:color="000000" w:sz="4" w:space="0"/>
              <w:right w:val="nil"/>
            </w:tcBorders>
            <w:shd w:val="clear" w:color="auto" w:fill="auto"/>
            <w:vAlign w:val="center"/>
          </w:tcPr>
          <w:p w14:paraId="4B7D8B8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xml:space="preserve">0.085 </w:t>
            </w:r>
          </w:p>
        </w:tc>
      </w:tr>
      <w:tr w14:paraId="11AE4E2F">
        <w:tblPrEx>
          <w:tblLayout w:type="fixed"/>
        </w:tblPrEx>
        <w:trPr>
          <w:trHeight w:val="280" w:hRule="atLeast"/>
        </w:trPr>
        <w:tc>
          <w:tcPr>
            <w:tcW w:w="1710" w:type="dxa"/>
            <w:tcBorders>
              <w:top w:val="nil"/>
              <w:left w:val="nil"/>
              <w:bottom w:val="single" w:color="auto" w:sz="4" w:space="0"/>
              <w:right w:val="nil"/>
            </w:tcBorders>
            <w:shd w:val="clear" w:color="auto" w:fill="auto"/>
            <w:vAlign w:val="center"/>
          </w:tcPr>
          <w:p w14:paraId="0BCEBA9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1420" w:type="dxa"/>
            <w:tcBorders>
              <w:top w:val="nil"/>
              <w:left w:val="nil"/>
              <w:bottom w:val="single" w:color="auto" w:sz="4" w:space="0"/>
              <w:right w:val="nil"/>
            </w:tcBorders>
            <w:shd w:val="clear" w:color="auto" w:fill="auto"/>
            <w:vAlign w:val="center"/>
          </w:tcPr>
          <w:p w14:paraId="14D8AF7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无</w:t>
            </w:r>
          </w:p>
        </w:tc>
        <w:tc>
          <w:tcPr>
            <w:tcW w:w="1540" w:type="dxa"/>
            <w:tcBorders>
              <w:top w:val="nil"/>
              <w:left w:val="nil"/>
              <w:bottom w:val="single" w:color="auto" w:sz="4" w:space="0"/>
              <w:right w:val="nil"/>
            </w:tcBorders>
            <w:shd w:val="clear" w:color="auto" w:fill="auto"/>
            <w:vAlign w:val="center"/>
          </w:tcPr>
          <w:p w14:paraId="57D0FB3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w:t>
            </w:r>
          </w:p>
        </w:tc>
        <w:tc>
          <w:tcPr>
            <w:tcW w:w="1640" w:type="dxa"/>
            <w:tcBorders>
              <w:top w:val="nil"/>
              <w:left w:val="nil"/>
              <w:bottom w:val="single" w:color="auto" w:sz="4" w:space="0"/>
              <w:right w:val="nil"/>
            </w:tcBorders>
            <w:shd w:val="clear" w:color="auto" w:fill="auto"/>
            <w:vAlign w:val="center"/>
          </w:tcPr>
          <w:p w14:paraId="07425EA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16</w:t>
            </w:r>
          </w:p>
        </w:tc>
        <w:tc>
          <w:tcPr>
            <w:tcW w:w="1360" w:type="dxa"/>
            <w:vMerge w:val="continue"/>
            <w:tcBorders>
              <w:top w:val="nil"/>
              <w:left w:val="nil"/>
              <w:bottom w:val="single" w:color="000000" w:sz="4" w:space="0"/>
              <w:right w:val="nil"/>
            </w:tcBorders>
            <w:vAlign w:val="center"/>
          </w:tcPr>
          <w:p w14:paraId="1835CED7">
            <w:pPr>
              <w:widowControl/>
              <w:spacing w:after="0" w:line="240" w:lineRule="auto"/>
              <w:rPr>
                <w:rFonts w:hint="eastAsia" w:ascii="等线" w:hAnsi="等线" w:eastAsia="等线" w:cs="宋体"/>
                <w:color w:val="000000"/>
                <w:kern w:val="0"/>
                <w:szCs w:val="22"/>
                <w14:ligatures w14:val="none"/>
              </w:rPr>
            </w:pPr>
          </w:p>
        </w:tc>
        <w:tc>
          <w:tcPr>
            <w:tcW w:w="1140" w:type="dxa"/>
            <w:vMerge w:val="continue"/>
            <w:tcBorders>
              <w:top w:val="nil"/>
              <w:left w:val="nil"/>
              <w:bottom w:val="single" w:color="000000" w:sz="4" w:space="0"/>
              <w:right w:val="nil"/>
            </w:tcBorders>
            <w:vAlign w:val="center"/>
          </w:tcPr>
          <w:p w14:paraId="634CBAFC">
            <w:pPr>
              <w:widowControl/>
              <w:spacing w:after="0" w:line="240" w:lineRule="auto"/>
              <w:rPr>
                <w:rFonts w:hint="eastAsia" w:ascii="等线" w:hAnsi="等线" w:eastAsia="等线" w:cs="宋体"/>
                <w:color w:val="000000"/>
                <w:kern w:val="0"/>
                <w:szCs w:val="22"/>
                <w14:ligatures w14:val="none"/>
              </w:rPr>
            </w:pPr>
          </w:p>
        </w:tc>
      </w:tr>
    </w:tbl>
    <w:p w14:paraId="0B455C33">
      <w:pPr>
        <w:rPr>
          <w:rFonts w:hint="eastAsia" w:ascii="宋体" w:hAnsi="宋体" w:eastAsia="宋体"/>
          <w:b/>
          <w:bCs/>
          <w:sz w:val="24"/>
        </w:rPr>
      </w:pPr>
      <w:r>
        <w:rPr>
          <w:rFonts w:hint="eastAsia" w:ascii="宋体" w:hAnsi="宋体" w:eastAsia="宋体"/>
          <w:b/>
          <w:bCs/>
          <w:sz w:val="21"/>
          <w:szCs w:val="21"/>
        </w:rPr>
        <w:fldChar w:fldCharType="end"/>
      </w:r>
      <w:r>
        <w:rPr>
          <w:rFonts w:hint="eastAsia" w:ascii="宋体" w:hAnsi="宋体" w:eastAsia="宋体"/>
          <w:b/>
          <w:bCs/>
          <w:sz w:val="24"/>
        </w:rPr>
        <w:t>2.3 多因素分析结果</w:t>
      </w:r>
    </w:p>
    <w:p w14:paraId="4C760234">
      <w:pPr>
        <w:rPr>
          <w:rFonts w:hint="eastAsia" w:ascii="宋体" w:hAnsi="宋体" w:eastAsia="宋体"/>
          <w:sz w:val="24"/>
        </w:rPr>
      </w:pPr>
      <w:r>
        <w:rPr>
          <w:rFonts w:hint="eastAsia" w:ascii="宋体" w:hAnsi="宋体" w:eastAsia="宋体"/>
          <w:sz w:val="24"/>
        </w:rPr>
        <w:t xml:space="preserve">   </w:t>
      </w:r>
      <w:bookmarkStart w:id="18" w:name="OLE_LINK4"/>
      <w:bookmarkStart w:id="19" w:name="OLE_LINK9"/>
      <w:r>
        <w:rPr>
          <w:rFonts w:hint="eastAsia" w:ascii="宋体" w:hAnsi="宋体" w:eastAsia="宋体"/>
          <w:sz w:val="24"/>
        </w:rPr>
        <w:t>我们对单因素分析中具有统计意义的自变量进行了logistic回归分析，结果显示：手术部位（1）、手术体位（1）、手术时长(1)的值差异显著（</w:t>
      </w:r>
      <w:r>
        <w:rPr>
          <w:rFonts w:hint="eastAsia" w:ascii="宋体" w:hAnsi="宋体" w:eastAsia="宋体"/>
          <w:i/>
          <w:iCs/>
          <w:sz w:val="24"/>
        </w:rPr>
        <w:t>P</w:t>
      </w:r>
      <w:r>
        <w:rPr>
          <w:rFonts w:hint="eastAsia" w:ascii="宋体" w:hAnsi="宋体" w:eastAsia="宋体"/>
          <w:sz w:val="24"/>
        </w:rPr>
        <w:t>＜0.005）。这意味着，术前评估时手术部位为骶尾部、手术体位为俯卧位、手术时长3~4小时是危险因素，患者术后需要大量输血的可能性就越大</w:t>
      </w:r>
      <w:bookmarkEnd w:id="18"/>
      <w:r>
        <w:rPr>
          <w:rFonts w:hint="eastAsia" w:ascii="宋体" w:hAnsi="宋体" w:eastAsia="宋体"/>
          <w:sz w:val="24"/>
        </w:rPr>
        <w:t>。具体数据请见表3。</w:t>
      </w:r>
    </w:p>
    <w:bookmarkEnd w:id="19"/>
    <w:p w14:paraId="46DF0F1B">
      <w:pPr>
        <w:jc w:val="center"/>
        <w:rPr>
          <w:rFonts w:hint="eastAsia" w:ascii="宋体" w:hAnsi="宋体" w:eastAsia="宋体"/>
          <w:b/>
          <w:bCs/>
          <w:sz w:val="21"/>
          <w:szCs w:val="21"/>
        </w:rPr>
      </w:pPr>
      <w:r>
        <w:rPr>
          <w:rFonts w:hint="eastAsia" w:ascii="宋体" w:hAnsi="宋体" w:eastAsia="宋体"/>
          <w:b/>
          <w:bCs/>
          <w:sz w:val="21"/>
          <w:szCs w:val="21"/>
        </w:rPr>
        <w:t>表3 两组患者多因素logistic回归分析结果</w:t>
      </w:r>
    </w:p>
    <w:tbl>
      <w:tblPr>
        <w:tblStyle w:val="16"/>
        <w:tblW w:w="9034" w:type="dxa"/>
        <w:tblInd w:w="0" w:type="dxa"/>
        <w:tblLayout w:type="fixed"/>
        <w:tblCellMar>
          <w:top w:w="0" w:type="dxa"/>
          <w:left w:w="108" w:type="dxa"/>
          <w:bottom w:w="0" w:type="dxa"/>
          <w:right w:w="108" w:type="dxa"/>
        </w:tblCellMar>
      </w:tblPr>
      <w:tblGrid>
        <w:gridCol w:w="1560"/>
        <w:gridCol w:w="940"/>
        <w:gridCol w:w="1100"/>
        <w:gridCol w:w="880"/>
        <w:gridCol w:w="907"/>
        <w:gridCol w:w="1887"/>
        <w:gridCol w:w="625"/>
        <w:gridCol w:w="1135"/>
      </w:tblGrid>
      <w:tr w14:paraId="37C789EF">
        <w:tblPrEx>
          <w:tblLayout w:type="fixed"/>
        </w:tblPrEx>
        <w:trPr>
          <w:trHeight w:val="280" w:hRule="atLeast"/>
        </w:trPr>
        <w:tc>
          <w:tcPr>
            <w:tcW w:w="1560" w:type="dxa"/>
            <w:tcBorders>
              <w:top w:val="single" w:color="auto" w:sz="4" w:space="0"/>
              <w:left w:val="nil"/>
              <w:bottom w:val="single" w:color="auto" w:sz="4" w:space="0"/>
              <w:right w:val="nil"/>
            </w:tcBorders>
            <w:shd w:val="clear" w:color="auto" w:fill="auto"/>
            <w:vAlign w:val="center"/>
          </w:tcPr>
          <w:p w14:paraId="443F944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　</w:t>
            </w:r>
          </w:p>
        </w:tc>
        <w:tc>
          <w:tcPr>
            <w:tcW w:w="940" w:type="dxa"/>
            <w:tcBorders>
              <w:top w:val="single" w:color="auto" w:sz="4" w:space="0"/>
              <w:left w:val="nil"/>
              <w:bottom w:val="single" w:color="auto" w:sz="4" w:space="0"/>
              <w:right w:val="nil"/>
            </w:tcBorders>
            <w:shd w:val="clear" w:color="auto" w:fill="auto"/>
            <w:vAlign w:val="center"/>
          </w:tcPr>
          <w:p w14:paraId="56295598">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B</w:t>
            </w:r>
          </w:p>
        </w:tc>
        <w:tc>
          <w:tcPr>
            <w:tcW w:w="1100" w:type="dxa"/>
            <w:tcBorders>
              <w:top w:val="single" w:color="auto" w:sz="4" w:space="0"/>
              <w:left w:val="nil"/>
              <w:bottom w:val="single" w:color="auto" w:sz="4" w:space="0"/>
              <w:right w:val="nil"/>
            </w:tcBorders>
            <w:shd w:val="clear" w:color="auto" w:fill="auto"/>
            <w:vAlign w:val="center"/>
          </w:tcPr>
          <w:p w14:paraId="0AC57938">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S.E.</w:t>
            </w:r>
          </w:p>
        </w:tc>
        <w:tc>
          <w:tcPr>
            <w:tcW w:w="880" w:type="dxa"/>
            <w:tcBorders>
              <w:top w:val="single" w:color="auto" w:sz="4" w:space="0"/>
              <w:left w:val="nil"/>
              <w:bottom w:val="single" w:color="auto" w:sz="4" w:space="0"/>
              <w:right w:val="nil"/>
            </w:tcBorders>
            <w:shd w:val="clear" w:color="auto" w:fill="auto"/>
            <w:vAlign w:val="center"/>
          </w:tcPr>
          <w:p w14:paraId="54C81A61">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Wald</w:t>
            </w:r>
          </w:p>
        </w:tc>
        <w:tc>
          <w:tcPr>
            <w:tcW w:w="907" w:type="dxa"/>
            <w:tcBorders>
              <w:top w:val="single" w:color="auto" w:sz="4" w:space="0"/>
              <w:left w:val="nil"/>
              <w:bottom w:val="single" w:color="auto" w:sz="4" w:space="0"/>
              <w:right w:val="nil"/>
            </w:tcBorders>
            <w:shd w:val="clear" w:color="auto" w:fill="auto"/>
            <w:vAlign w:val="center"/>
          </w:tcPr>
          <w:p w14:paraId="1BA8EE8E">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P</w:t>
            </w:r>
          </w:p>
        </w:tc>
        <w:tc>
          <w:tcPr>
            <w:tcW w:w="1887" w:type="dxa"/>
            <w:tcBorders>
              <w:top w:val="single" w:color="auto" w:sz="4" w:space="0"/>
              <w:left w:val="nil"/>
              <w:bottom w:val="single" w:color="auto" w:sz="4" w:space="0"/>
              <w:right w:val="nil"/>
            </w:tcBorders>
            <w:shd w:val="clear" w:color="auto" w:fill="auto"/>
            <w:vAlign w:val="center"/>
          </w:tcPr>
          <w:p w14:paraId="3AD485F8">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OR</w:t>
            </w:r>
          </w:p>
        </w:tc>
        <w:tc>
          <w:tcPr>
            <w:tcW w:w="1760" w:type="dxa"/>
            <w:gridSpan w:val="2"/>
            <w:tcBorders>
              <w:top w:val="single" w:color="auto" w:sz="4" w:space="0"/>
              <w:left w:val="nil"/>
              <w:bottom w:val="single" w:color="auto" w:sz="4" w:space="0"/>
              <w:right w:val="nil"/>
            </w:tcBorders>
            <w:shd w:val="clear" w:color="auto" w:fill="auto"/>
            <w:vAlign w:val="center"/>
          </w:tcPr>
          <w:p w14:paraId="06244068">
            <w:pPr>
              <w:widowControl/>
              <w:spacing w:after="0" w:line="240" w:lineRule="auto"/>
              <w:jc w:val="center"/>
              <w:rPr>
                <w:rFonts w:hint="eastAsia" w:ascii="等线" w:hAnsi="等线" w:eastAsia="等线" w:cs="宋体"/>
                <w:i/>
                <w:iCs/>
                <w:color w:val="000000"/>
                <w:kern w:val="0"/>
                <w:szCs w:val="22"/>
                <w14:ligatures w14:val="none"/>
              </w:rPr>
            </w:pPr>
            <w:r>
              <w:rPr>
                <w:rFonts w:hint="eastAsia" w:ascii="等线" w:hAnsi="等线" w:eastAsia="等线" w:cs="宋体"/>
                <w:i/>
                <w:iCs/>
                <w:color w:val="000000"/>
                <w:kern w:val="0"/>
                <w:szCs w:val="22"/>
                <w14:ligatures w14:val="none"/>
              </w:rPr>
              <w:t>95% C.I.</w:t>
            </w:r>
          </w:p>
        </w:tc>
      </w:tr>
      <w:tr w14:paraId="26481A5D">
        <w:tblPrEx>
          <w:tblLayout w:type="fixed"/>
        </w:tblPrEx>
        <w:trPr>
          <w:trHeight w:val="280" w:hRule="atLeast"/>
        </w:trPr>
        <w:tc>
          <w:tcPr>
            <w:tcW w:w="1560" w:type="dxa"/>
            <w:tcBorders>
              <w:top w:val="nil"/>
              <w:left w:val="nil"/>
              <w:bottom w:val="nil"/>
              <w:right w:val="nil"/>
            </w:tcBorders>
            <w:shd w:val="clear" w:color="auto" w:fill="auto"/>
            <w:vAlign w:val="bottom"/>
          </w:tcPr>
          <w:p w14:paraId="7D03597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手术部位(1)</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940" w:type="dxa"/>
            <w:tcBorders>
              <w:top w:val="nil"/>
              <w:left w:val="nil"/>
              <w:bottom w:val="nil"/>
              <w:right w:val="nil"/>
            </w:tcBorders>
            <w:shd w:val="clear" w:color="auto" w:fill="auto"/>
            <w:vAlign w:val="center"/>
          </w:tcPr>
          <w:p w14:paraId="048CC4B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-3.30</w:t>
            </w:r>
          </w:p>
        </w:tc>
        <w:tc>
          <w:tcPr>
            <w:tcW w:w="1100" w:type="dxa"/>
            <w:tcBorders>
              <w:top w:val="nil"/>
              <w:left w:val="nil"/>
              <w:bottom w:val="nil"/>
              <w:right w:val="nil"/>
            </w:tcBorders>
            <w:shd w:val="clear" w:color="auto" w:fill="auto"/>
            <w:vAlign w:val="center"/>
          </w:tcPr>
          <w:p w14:paraId="27634BD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1.49</w:t>
            </w:r>
          </w:p>
        </w:tc>
        <w:tc>
          <w:tcPr>
            <w:tcW w:w="880" w:type="dxa"/>
            <w:tcBorders>
              <w:top w:val="nil"/>
              <w:left w:val="nil"/>
              <w:bottom w:val="nil"/>
              <w:right w:val="nil"/>
            </w:tcBorders>
            <w:shd w:val="clear" w:color="auto" w:fill="auto"/>
            <w:vAlign w:val="center"/>
          </w:tcPr>
          <w:p w14:paraId="27623DA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4.91</w:t>
            </w:r>
          </w:p>
        </w:tc>
        <w:tc>
          <w:tcPr>
            <w:tcW w:w="907" w:type="dxa"/>
            <w:tcBorders>
              <w:top w:val="nil"/>
              <w:left w:val="nil"/>
              <w:bottom w:val="nil"/>
              <w:right w:val="nil"/>
            </w:tcBorders>
            <w:shd w:val="clear" w:color="auto" w:fill="auto"/>
            <w:vAlign w:val="bottom"/>
          </w:tcPr>
          <w:p w14:paraId="7EE3AD0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0.027</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1887" w:type="dxa"/>
            <w:tcBorders>
              <w:top w:val="nil"/>
              <w:left w:val="nil"/>
              <w:bottom w:val="nil"/>
              <w:right w:val="nil"/>
            </w:tcBorders>
            <w:shd w:val="clear" w:color="auto" w:fill="auto"/>
            <w:vAlign w:val="bottom"/>
          </w:tcPr>
          <w:p w14:paraId="7F72717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0.04</w:t>
            </w:r>
          </w:p>
        </w:tc>
        <w:tc>
          <w:tcPr>
            <w:tcW w:w="625" w:type="dxa"/>
            <w:tcBorders>
              <w:top w:val="nil"/>
              <w:left w:val="nil"/>
              <w:bottom w:val="nil"/>
              <w:right w:val="nil"/>
            </w:tcBorders>
            <w:shd w:val="clear" w:color="auto" w:fill="auto"/>
            <w:vAlign w:val="bottom"/>
          </w:tcPr>
          <w:p w14:paraId="647890D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1135" w:type="dxa"/>
            <w:tcBorders>
              <w:top w:val="nil"/>
              <w:left w:val="nil"/>
              <w:bottom w:val="nil"/>
              <w:right w:val="nil"/>
            </w:tcBorders>
            <w:shd w:val="clear" w:color="auto" w:fill="auto"/>
            <w:vAlign w:val="bottom"/>
          </w:tcPr>
          <w:p w14:paraId="005A610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0.68</w:t>
            </w:r>
          </w:p>
        </w:tc>
      </w:tr>
      <w:tr w14:paraId="16BC0DFA">
        <w:tblPrEx>
          <w:tblLayout w:type="fixed"/>
        </w:tblPrEx>
        <w:trPr>
          <w:trHeight w:val="280" w:hRule="atLeast"/>
        </w:trPr>
        <w:tc>
          <w:tcPr>
            <w:tcW w:w="1560" w:type="dxa"/>
            <w:tcBorders>
              <w:top w:val="nil"/>
              <w:left w:val="nil"/>
              <w:bottom w:val="nil"/>
              <w:right w:val="nil"/>
            </w:tcBorders>
            <w:shd w:val="clear" w:color="auto" w:fill="auto"/>
            <w:vAlign w:val="bottom"/>
          </w:tcPr>
          <w:p w14:paraId="372821B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手术体位(1)</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940" w:type="dxa"/>
            <w:tcBorders>
              <w:top w:val="nil"/>
              <w:left w:val="nil"/>
              <w:bottom w:val="nil"/>
              <w:right w:val="nil"/>
            </w:tcBorders>
            <w:shd w:val="clear" w:color="auto" w:fill="auto"/>
            <w:vAlign w:val="center"/>
          </w:tcPr>
          <w:p w14:paraId="19A1B5E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3.90</w:t>
            </w:r>
          </w:p>
        </w:tc>
        <w:tc>
          <w:tcPr>
            <w:tcW w:w="1100" w:type="dxa"/>
            <w:tcBorders>
              <w:top w:val="nil"/>
              <w:left w:val="nil"/>
              <w:bottom w:val="nil"/>
              <w:right w:val="nil"/>
            </w:tcBorders>
            <w:shd w:val="clear" w:color="auto" w:fill="auto"/>
            <w:vAlign w:val="center"/>
          </w:tcPr>
          <w:p w14:paraId="6BCD467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1.71</w:t>
            </w:r>
          </w:p>
        </w:tc>
        <w:tc>
          <w:tcPr>
            <w:tcW w:w="880" w:type="dxa"/>
            <w:tcBorders>
              <w:top w:val="nil"/>
              <w:left w:val="nil"/>
              <w:bottom w:val="nil"/>
              <w:right w:val="nil"/>
            </w:tcBorders>
            <w:shd w:val="clear" w:color="auto" w:fill="auto"/>
            <w:vAlign w:val="center"/>
          </w:tcPr>
          <w:p w14:paraId="3D166A9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5.21</w:t>
            </w:r>
          </w:p>
        </w:tc>
        <w:tc>
          <w:tcPr>
            <w:tcW w:w="907" w:type="dxa"/>
            <w:tcBorders>
              <w:top w:val="nil"/>
              <w:left w:val="nil"/>
              <w:bottom w:val="nil"/>
              <w:right w:val="nil"/>
            </w:tcBorders>
            <w:shd w:val="clear" w:color="auto" w:fill="auto"/>
            <w:vAlign w:val="bottom"/>
          </w:tcPr>
          <w:p w14:paraId="20036DB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0.022</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1887" w:type="dxa"/>
            <w:tcBorders>
              <w:top w:val="nil"/>
              <w:left w:val="nil"/>
              <w:bottom w:val="nil"/>
              <w:right w:val="nil"/>
            </w:tcBorders>
            <w:shd w:val="clear" w:color="auto" w:fill="auto"/>
            <w:vAlign w:val="bottom"/>
          </w:tcPr>
          <w:p w14:paraId="3E95811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49.23</w:t>
            </w:r>
          </w:p>
        </w:tc>
        <w:tc>
          <w:tcPr>
            <w:tcW w:w="625" w:type="dxa"/>
            <w:tcBorders>
              <w:top w:val="nil"/>
              <w:left w:val="nil"/>
              <w:bottom w:val="nil"/>
              <w:right w:val="nil"/>
            </w:tcBorders>
            <w:shd w:val="clear" w:color="auto" w:fill="auto"/>
            <w:vAlign w:val="bottom"/>
          </w:tcPr>
          <w:p w14:paraId="0886274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1.74</w:t>
            </w:r>
          </w:p>
        </w:tc>
        <w:tc>
          <w:tcPr>
            <w:tcW w:w="1135" w:type="dxa"/>
            <w:tcBorders>
              <w:top w:val="nil"/>
              <w:left w:val="nil"/>
              <w:bottom w:val="nil"/>
              <w:right w:val="nil"/>
            </w:tcBorders>
            <w:shd w:val="clear" w:color="auto" w:fill="auto"/>
            <w:vAlign w:val="bottom"/>
          </w:tcPr>
          <w:p w14:paraId="1D9C783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1395.27</w:t>
            </w:r>
          </w:p>
        </w:tc>
      </w:tr>
      <w:tr w14:paraId="5DE40538">
        <w:tblPrEx>
          <w:tblLayout w:type="fixed"/>
        </w:tblPrEx>
        <w:trPr>
          <w:trHeight w:val="280" w:hRule="atLeast"/>
        </w:trPr>
        <w:tc>
          <w:tcPr>
            <w:tcW w:w="1560" w:type="dxa"/>
            <w:tcBorders>
              <w:top w:val="nil"/>
              <w:left w:val="nil"/>
              <w:bottom w:val="nil"/>
              <w:right w:val="nil"/>
            </w:tcBorders>
            <w:shd w:val="clear" w:color="auto" w:fill="auto"/>
            <w:vAlign w:val="bottom"/>
          </w:tcPr>
          <w:p w14:paraId="4770F44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手术时长(1)</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940" w:type="dxa"/>
            <w:tcBorders>
              <w:top w:val="nil"/>
              <w:left w:val="nil"/>
              <w:bottom w:val="nil"/>
              <w:right w:val="nil"/>
            </w:tcBorders>
            <w:shd w:val="clear" w:color="auto" w:fill="auto"/>
            <w:vAlign w:val="center"/>
          </w:tcPr>
          <w:p w14:paraId="53592EE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3.39</w:t>
            </w:r>
          </w:p>
        </w:tc>
        <w:tc>
          <w:tcPr>
            <w:tcW w:w="1100" w:type="dxa"/>
            <w:tcBorders>
              <w:top w:val="nil"/>
              <w:left w:val="nil"/>
              <w:bottom w:val="nil"/>
              <w:right w:val="nil"/>
            </w:tcBorders>
            <w:shd w:val="clear" w:color="auto" w:fill="auto"/>
            <w:vAlign w:val="center"/>
          </w:tcPr>
          <w:p w14:paraId="1F6A04B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1.46</w:t>
            </w:r>
          </w:p>
        </w:tc>
        <w:tc>
          <w:tcPr>
            <w:tcW w:w="880" w:type="dxa"/>
            <w:tcBorders>
              <w:top w:val="nil"/>
              <w:left w:val="nil"/>
              <w:bottom w:val="nil"/>
              <w:right w:val="nil"/>
            </w:tcBorders>
            <w:shd w:val="clear" w:color="auto" w:fill="auto"/>
            <w:vAlign w:val="center"/>
          </w:tcPr>
          <w:p w14:paraId="41442A1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5.44</w:t>
            </w:r>
          </w:p>
        </w:tc>
        <w:tc>
          <w:tcPr>
            <w:tcW w:w="907" w:type="dxa"/>
            <w:tcBorders>
              <w:top w:val="nil"/>
              <w:left w:val="nil"/>
              <w:bottom w:val="nil"/>
              <w:right w:val="nil"/>
            </w:tcBorders>
            <w:shd w:val="clear" w:color="auto" w:fill="auto"/>
            <w:vAlign w:val="bottom"/>
          </w:tcPr>
          <w:p w14:paraId="6F106C8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0.020</w:t>
            </w:r>
            <w:r>
              <w:rPr>
                <w:rFonts w:hint="eastAsia" w:ascii="等线" w:hAnsi="等线" w:eastAsia="等线" w:cs="宋体"/>
                <w:color w:val="000000"/>
                <w:kern w:val="0"/>
                <w:szCs w:val="22"/>
                <w14:ligatures w14:val="none"/>
              </w:rPr>
              <w:t xml:space="preserve"> </w:t>
            </w:r>
            <w:r>
              <w:rPr>
                <w:rFonts w:hint="eastAsia" w:ascii="等线" w:hAnsi="等线" w:eastAsia="等线" w:cs="宋体"/>
                <w:color w:val="000000"/>
                <w:kern w:val="0"/>
                <w:szCs w:val="22"/>
                <w:vertAlign w:val="superscript"/>
                <w14:ligatures w14:val="none"/>
              </w:rPr>
              <w:t>*</w:t>
            </w:r>
          </w:p>
        </w:tc>
        <w:tc>
          <w:tcPr>
            <w:tcW w:w="1887" w:type="dxa"/>
            <w:tcBorders>
              <w:top w:val="nil"/>
              <w:left w:val="nil"/>
              <w:bottom w:val="nil"/>
              <w:right w:val="nil"/>
            </w:tcBorders>
            <w:shd w:val="clear" w:color="auto" w:fill="auto"/>
            <w:vAlign w:val="bottom"/>
          </w:tcPr>
          <w:p w14:paraId="641F862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29.73</w:t>
            </w:r>
          </w:p>
        </w:tc>
        <w:tc>
          <w:tcPr>
            <w:tcW w:w="625" w:type="dxa"/>
            <w:tcBorders>
              <w:top w:val="nil"/>
              <w:left w:val="nil"/>
              <w:bottom w:val="nil"/>
              <w:right w:val="nil"/>
            </w:tcBorders>
            <w:shd w:val="clear" w:color="auto" w:fill="auto"/>
            <w:vAlign w:val="bottom"/>
          </w:tcPr>
          <w:p w14:paraId="28695DC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1.72</w:t>
            </w:r>
          </w:p>
        </w:tc>
        <w:tc>
          <w:tcPr>
            <w:tcW w:w="1135" w:type="dxa"/>
            <w:tcBorders>
              <w:top w:val="nil"/>
              <w:left w:val="nil"/>
              <w:bottom w:val="nil"/>
              <w:right w:val="nil"/>
            </w:tcBorders>
            <w:shd w:val="clear" w:color="auto" w:fill="auto"/>
            <w:vAlign w:val="bottom"/>
          </w:tcPr>
          <w:p w14:paraId="6D407C0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514.72</w:t>
            </w:r>
          </w:p>
        </w:tc>
      </w:tr>
      <w:tr w14:paraId="09C65811">
        <w:tblPrEx>
          <w:tblLayout w:type="fixed"/>
        </w:tblPrEx>
        <w:trPr>
          <w:trHeight w:val="280" w:hRule="atLeast"/>
        </w:trPr>
        <w:tc>
          <w:tcPr>
            <w:tcW w:w="1560" w:type="dxa"/>
            <w:tcBorders>
              <w:top w:val="nil"/>
              <w:left w:val="nil"/>
              <w:bottom w:val="nil"/>
              <w:right w:val="nil"/>
            </w:tcBorders>
            <w:shd w:val="clear" w:color="auto" w:fill="auto"/>
            <w:vAlign w:val="bottom"/>
          </w:tcPr>
          <w:p w14:paraId="0FA910F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手术时长(3)</w:t>
            </w:r>
          </w:p>
        </w:tc>
        <w:tc>
          <w:tcPr>
            <w:tcW w:w="940" w:type="dxa"/>
            <w:tcBorders>
              <w:top w:val="nil"/>
              <w:left w:val="nil"/>
              <w:bottom w:val="nil"/>
              <w:right w:val="nil"/>
            </w:tcBorders>
            <w:shd w:val="clear" w:color="auto" w:fill="auto"/>
            <w:vAlign w:val="center"/>
          </w:tcPr>
          <w:p w14:paraId="63FD4CA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-1.14</w:t>
            </w:r>
          </w:p>
        </w:tc>
        <w:tc>
          <w:tcPr>
            <w:tcW w:w="1100" w:type="dxa"/>
            <w:tcBorders>
              <w:top w:val="nil"/>
              <w:left w:val="nil"/>
              <w:bottom w:val="nil"/>
              <w:right w:val="nil"/>
            </w:tcBorders>
            <w:shd w:val="clear" w:color="auto" w:fill="auto"/>
            <w:vAlign w:val="center"/>
          </w:tcPr>
          <w:p w14:paraId="0772192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1.67</w:t>
            </w:r>
          </w:p>
        </w:tc>
        <w:tc>
          <w:tcPr>
            <w:tcW w:w="880" w:type="dxa"/>
            <w:tcBorders>
              <w:top w:val="nil"/>
              <w:left w:val="nil"/>
              <w:bottom w:val="nil"/>
              <w:right w:val="nil"/>
            </w:tcBorders>
            <w:shd w:val="clear" w:color="auto" w:fill="auto"/>
            <w:vAlign w:val="center"/>
          </w:tcPr>
          <w:p w14:paraId="3F3BC46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0.46</w:t>
            </w:r>
          </w:p>
        </w:tc>
        <w:tc>
          <w:tcPr>
            <w:tcW w:w="907" w:type="dxa"/>
            <w:tcBorders>
              <w:top w:val="nil"/>
              <w:left w:val="nil"/>
              <w:bottom w:val="nil"/>
              <w:right w:val="nil"/>
            </w:tcBorders>
            <w:shd w:val="clear" w:color="auto" w:fill="auto"/>
            <w:vAlign w:val="bottom"/>
          </w:tcPr>
          <w:p w14:paraId="72E9CDE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0.496</w:t>
            </w:r>
          </w:p>
        </w:tc>
        <w:tc>
          <w:tcPr>
            <w:tcW w:w="1887" w:type="dxa"/>
            <w:tcBorders>
              <w:top w:val="nil"/>
              <w:left w:val="nil"/>
              <w:bottom w:val="nil"/>
              <w:right w:val="nil"/>
            </w:tcBorders>
            <w:shd w:val="clear" w:color="auto" w:fill="auto"/>
            <w:vAlign w:val="bottom"/>
          </w:tcPr>
          <w:p w14:paraId="0E8DCD4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0.32</w:t>
            </w:r>
          </w:p>
        </w:tc>
        <w:tc>
          <w:tcPr>
            <w:tcW w:w="625" w:type="dxa"/>
            <w:tcBorders>
              <w:top w:val="nil"/>
              <w:left w:val="nil"/>
              <w:bottom w:val="nil"/>
              <w:right w:val="nil"/>
            </w:tcBorders>
            <w:shd w:val="clear" w:color="auto" w:fill="auto"/>
            <w:vAlign w:val="bottom"/>
          </w:tcPr>
          <w:p w14:paraId="7108B7B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0.01</w:t>
            </w:r>
          </w:p>
        </w:tc>
        <w:tc>
          <w:tcPr>
            <w:tcW w:w="1135" w:type="dxa"/>
            <w:tcBorders>
              <w:top w:val="nil"/>
              <w:left w:val="nil"/>
              <w:bottom w:val="nil"/>
              <w:right w:val="nil"/>
            </w:tcBorders>
            <w:shd w:val="clear" w:color="auto" w:fill="auto"/>
            <w:vAlign w:val="bottom"/>
          </w:tcPr>
          <w:p w14:paraId="767BE32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8.50</w:t>
            </w:r>
          </w:p>
        </w:tc>
      </w:tr>
      <w:tr w14:paraId="590AB7CE">
        <w:tblPrEx>
          <w:tblLayout w:type="fixed"/>
        </w:tblPrEx>
        <w:trPr>
          <w:trHeight w:val="280" w:hRule="atLeast"/>
        </w:trPr>
        <w:tc>
          <w:tcPr>
            <w:tcW w:w="1560" w:type="dxa"/>
            <w:tcBorders>
              <w:top w:val="nil"/>
              <w:left w:val="nil"/>
              <w:bottom w:val="nil"/>
              <w:right w:val="nil"/>
            </w:tcBorders>
            <w:shd w:val="clear" w:color="auto" w:fill="auto"/>
            <w:vAlign w:val="bottom"/>
          </w:tcPr>
          <w:p w14:paraId="192D324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性别(1)</w:t>
            </w:r>
          </w:p>
        </w:tc>
        <w:tc>
          <w:tcPr>
            <w:tcW w:w="940" w:type="dxa"/>
            <w:tcBorders>
              <w:top w:val="nil"/>
              <w:left w:val="nil"/>
              <w:bottom w:val="nil"/>
              <w:right w:val="nil"/>
            </w:tcBorders>
            <w:shd w:val="clear" w:color="auto" w:fill="auto"/>
            <w:vAlign w:val="center"/>
          </w:tcPr>
          <w:p w14:paraId="75EDDCA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1.24</w:t>
            </w:r>
          </w:p>
        </w:tc>
        <w:tc>
          <w:tcPr>
            <w:tcW w:w="1100" w:type="dxa"/>
            <w:tcBorders>
              <w:top w:val="nil"/>
              <w:left w:val="nil"/>
              <w:bottom w:val="nil"/>
              <w:right w:val="nil"/>
            </w:tcBorders>
            <w:shd w:val="clear" w:color="auto" w:fill="auto"/>
            <w:vAlign w:val="center"/>
          </w:tcPr>
          <w:p w14:paraId="4136C1D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1.32</w:t>
            </w:r>
          </w:p>
        </w:tc>
        <w:tc>
          <w:tcPr>
            <w:tcW w:w="880" w:type="dxa"/>
            <w:tcBorders>
              <w:top w:val="nil"/>
              <w:left w:val="nil"/>
              <w:bottom w:val="nil"/>
              <w:right w:val="nil"/>
            </w:tcBorders>
            <w:shd w:val="clear" w:color="auto" w:fill="auto"/>
            <w:vAlign w:val="center"/>
          </w:tcPr>
          <w:p w14:paraId="6CB83B5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0.88</w:t>
            </w:r>
          </w:p>
        </w:tc>
        <w:tc>
          <w:tcPr>
            <w:tcW w:w="907" w:type="dxa"/>
            <w:tcBorders>
              <w:top w:val="nil"/>
              <w:left w:val="nil"/>
              <w:bottom w:val="nil"/>
              <w:right w:val="nil"/>
            </w:tcBorders>
            <w:shd w:val="clear" w:color="auto" w:fill="auto"/>
            <w:vAlign w:val="bottom"/>
          </w:tcPr>
          <w:p w14:paraId="72C93C5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0.349</w:t>
            </w:r>
          </w:p>
        </w:tc>
        <w:tc>
          <w:tcPr>
            <w:tcW w:w="1887" w:type="dxa"/>
            <w:tcBorders>
              <w:top w:val="nil"/>
              <w:left w:val="nil"/>
              <w:bottom w:val="nil"/>
              <w:right w:val="nil"/>
            </w:tcBorders>
            <w:shd w:val="clear" w:color="auto" w:fill="auto"/>
            <w:vAlign w:val="bottom"/>
          </w:tcPr>
          <w:p w14:paraId="2D1CB73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3.45</w:t>
            </w:r>
          </w:p>
        </w:tc>
        <w:tc>
          <w:tcPr>
            <w:tcW w:w="625" w:type="dxa"/>
            <w:tcBorders>
              <w:top w:val="nil"/>
              <w:left w:val="nil"/>
              <w:bottom w:val="nil"/>
              <w:right w:val="nil"/>
            </w:tcBorders>
            <w:shd w:val="clear" w:color="auto" w:fill="auto"/>
            <w:vAlign w:val="bottom"/>
          </w:tcPr>
          <w:p w14:paraId="41AE6CB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0.26</w:t>
            </w:r>
          </w:p>
        </w:tc>
        <w:tc>
          <w:tcPr>
            <w:tcW w:w="1135" w:type="dxa"/>
            <w:tcBorders>
              <w:top w:val="nil"/>
              <w:left w:val="nil"/>
              <w:bottom w:val="nil"/>
              <w:right w:val="nil"/>
            </w:tcBorders>
            <w:shd w:val="clear" w:color="auto" w:fill="auto"/>
            <w:vAlign w:val="bottom"/>
          </w:tcPr>
          <w:p w14:paraId="5B8D5BE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46.07</w:t>
            </w:r>
          </w:p>
        </w:tc>
      </w:tr>
      <w:tr w14:paraId="1B72A236">
        <w:tblPrEx>
          <w:tblLayout w:type="fixed"/>
        </w:tblPrEx>
        <w:trPr>
          <w:trHeight w:val="280" w:hRule="atLeast"/>
        </w:trPr>
        <w:tc>
          <w:tcPr>
            <w:tcW w:w="1560" w:type="dxa"/>
            <w:tcBorders>
              <w:top w:val="nil"/>
              <w:left w:val="nil"/>
              <w:bottom w:val="nil"/>
              <w:right w:val="nil"/>
            </w:tcBorders>
            <w:shd w:val="clear" w:color="auto" w:fill="auto"/>
            <w:vAlign w:val="bottom"/>
          </w:tcPr>
          <w:p w14:paraId="0B3A375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年龄(1)</w:t>
            </w:r>
          </w:p>
        </w:tc>
        <w:tc>
          <w:tcPr>
            <w:tcW w:w="940" w:type="dxa"/>
            <w:tcBorders>
              <w:top w:val="nil"/>
              <w:left w:val="nil"/>
              <w:bottom w:val="nil"/>
              <w:right w:val="nil"/>
            </w:tcBorders>
            <w:shd w:val="clear" w:color="auto" w:fill="auto"/>
            <w:vAlign w:val="center"/>
          </w:tcPr>
          <w:p w14:paraId="536A1F2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23.38</w:t>
            </w:r>
          </w:p>
        </w:tc>
        <w:tc>
          <w:tcPr>
            <w:tcW w:w="1100" w:type="dxa"/>
            <w:tcBorders>
              <w:top w:val="nil"/>
              <w:left w:val="nil"/>
              <w:bottom w:val="nil"/>
              <w:right w:val="nil"/>
            </w:tcBorders>
            <w:shd w:val="clear" w:color="auto" w:fill="auto"/>
            <w:vAlign w:val="center"/>
          </w:tcPr>
          <w:p w14:paraId="293B1D5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6878.97</w:t>
            </w:r>
          </w:p>
        </w:tc>
        <w:tc>
          <w:tcPr>
            <w:tcW w:w="880" w:type="dxa"/>
            <w:tcBorders>
              <w:top w:val="nil"/>
              <w:left w:val="nil"/>
              <w:bottom w:val="nil"/>
              <w:right w:val="nil"/>
            </w:tcBorders>
            <w:shd w:val="clear" w:color="auto" w:fill="auto"/>
            <w:vAlign w:val="center"/>
          </w:tcPr>
          <w:p w14:paraId="5BE1BFE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nil"/>
              <w:right w:val="nil"/>
            </w:tcBorders>
            <w:shd w:val="clear" w:color="auto" w:fill="auto"/>
            <w:vAlign w:val="bottom"/>
          </w:tcPr>
          <w:p w14:paraId="7E8C530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0.997</w:t>
            </w:r>
          </w:p>
        </w:tc>
        <w:tc>
          <w:tcPr>
            <w:tcW w:w="1887" w:type="dxa"/>
            <w:tcBorders>
              <w:top w:val="nil"/>
              <w:left w:val="nil"/>
              <w:bottom w:val="nil"/>
              <w:right w:val="nil"/>
            </w:tcBorders>
            <w:shd w:val="clear" w:color="auto" w:fill="auto"/>
            <w:vAlign w:val="bottom"/>
          </w:tcPr>
          <w:p w14:paraId="6859A69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14297314107.83</w:t>
            </w:r>
          </w:p>
        </w:tc>
        <w:tc>
          <w:tcPr>
            <w:tcW w:w="625" w:type="dxa"/>
            <w:tcBorders>
              <w:top w:val="nil"/>
              <w:left w:val="nil"/>
              <w:bottom w:val="nil"/>
              <w:right w:val="nil"/>
            </w:tcBorders>
            <w:shd w:val="clear" w:color="auto" w:fill="auto"/>
            <w:vAlign w:val="bottom"/>
          </w:tcPr>
          <w:p w14:paraId="52586BC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1135" w:type="dxa"/>
            <w:tcBorders>
              <w:top w:val="nil"/>
              <w:left w:val="nil"/>
              <w:bottom w:val="nil"/>
              <w:right w:val="nil"/>
            </w:tcBorders>
            <w:shd w:val="clear" w:color="auto" w:fill="auto"/>
            <w:vAlign w:val="bottom"/>
          </w:tcPr>
          <w:p w14:paraId="252BC6B4">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w:t>
            </w:r>
          </w:p>
        </w:tc>
      </w:tr>
      <w:tr w14:paraId="173BC969">
        <w:tblPrEx>
          <w:tblLayout w:type="fixed"/>
        </w:tblPrEx>
        <w:trPr>
          <w:trHeight w:val="280" w:hRule="atLeast"/>
        </w:trPr>
        <w:tc>
          <w:tcPr>
            <w:tcW w:w="1560" w:type="dxa"/>
            <w:tcBorders>
              <w:top w:val="nil"/>
              <w:left w:val="nil"/>
              <w:bottom w:val="nil"/>
              <w:right w:val="nil"/>
            </w:tcBorders>
            <w:shd w:val="clear" w:color="auto" w:fill="auto"/>
            <w:vAlign w:val="bottom"/>
          </w:tcPr>
          <w:p w14:paraId="17C5BBA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PT</w:t>
            </w:r>
          </w:p>
        </w:tc>
        <w:tc>
          <w:tcPr>
            <w:tcW w:w="940" w:type="dxa"/>
            <w:tcBorders>
              <w:top w:val="nil"/>
              <w:left w:val="nil"/>
              <w:bottom w:val="nil"/>
              <w:right w:val="nil"/>
            </w:tcBorders>
            <w:shd w:val="clear" w:color="auto" w:fill="auto"/>
            <w:vAlign w:val="bottom"/>
          </w:tcPr>
          <w:p w14:paraId="17BC9477">
            <w:pPr>
              <w:widowControl/>
              <w:spacing w:after="0" w:line="240" w:lineRule="auto"/>
              <w:jc w:val="center"/>
              <w:rPr>
                <w:rFonts w:hint="eastAsia" w:ascii="等线" w:hAnsi="等线" w:eastAsia="等线" w:cs="宋体"/>
                <w:color w:val="000000"/>
                <w:kern w:val="0"/>
                <w:szCs w:val="22"/>
                <w14:ligatures w14:val="none"/>
              </w:rPr>
            </w:pPr>
          </w:p>
        </w:tc>
        <w:tc>
          <w:tcPr>
            <w:tcW w:w="1100" w:type="dxa"/>
            <w:tcBorders>
              <w:top w:val="nil"/>
              <w:left w:val="nil"/>
              <w:bottom w:val="nil"/>
              <w:right w:val="nil"/>
            </w:tcBorders>
            <w:shd w:val="clear" w:color="auto" w:fill="auto"/>
            <w:vAlign w:val="bottom"/>
          </w:tcPr>
          <w:p w14:paraId="389865CF">
            <w:pPr>
              <w:widowControl/>
              <w:spacing w:after="0" w:line="240" w:lineRule="auto"/>
              <w:jc w:val="center"/>
              <w:rPr>
                <w:rFonts w:ascii="Times New Roman" w:hAnsi="Times New Roman" w:eastAsia="Times New Roman" w:cs="Times New Roman"/>
                <w:kern w:val="0"/>
                <w:sz w:val="20"/>
                <w:szCs w:val="20"/>
                <w14:ligatures w14:val="none"/>
              </w:rPr>
            </w:pPr>
          </w:p>
        </w:tc>
        <w:tc>
          <w:tcPr>
            <w:tcW w:w="880" w:type="dxa"/>
            <w:tcBorders>
              <w:top w:val="nil"/>
              <w:left w:val="nil"/>
              <w:bottom w:val="nil"/>
              <w:right w:val="nil"/>
            </w:tcBorders>
            <w:shd w:val="clear" w:color="auto" w:fill="auto"/>
            <w:vAlign w:val="center"/>
          </w:tcPr>
          <w:p w14:paraId="4986821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nil"/>
              <w:right w:val="nil"/>
            </w:tcBorders>
            <w:shd w:val="clear" w:color="auto" w:fill="auto"/>
            <w:vAlign w:val="bottom"/>
          </w:tcPr>
          <w:p w14:paraId="4839F95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1.000</w:t>
            </w:r>
          </w:p>
        </w:tc>
        <w:tc>
          <w:tcPr>
            <w:tcW w:w="1887" w:type="dxa"/>
            <w:tcBorders>
              <w:top w:val="nil"/>
              <w:left w:val="nil"/>
              <w:bottom w:val="nil"/>
              <w:right w:val="nil"/>
            </w:tcBorders>
            <w:shd w:val="clear" w:color="auto" w:fill="auto"/>
            <w:vAlign w:val="bottom"/>
          </w:tcPr>
          <w:p w14:paraId="7320170F">
            <w:pPr>
              <w:widowControl/>
              <w:spacing w:after="0" w:line="240" w:lineRule="auto"/>
              <w:jc w:val="center"/>
              <w:rPr>
                <w:rFonts w:hint="eastAsia" w:ascii="等线" w:hAnsi="等线" w:eastAsia="等线" w:cs="宋体"/>
                <w:color w:val="000000"/>
                <w:kern w:val="0"/>
                <w:szCs w:val="22"/>
                <w14:ligatures w14:val="none"/>
              </w:rPr>
            </w:pPr>
          </w:p>
        </w:tc>
        <w:tc>
          <w:tcPr>
            <w:tcW w:w="625" w:type="dxa"/>
            <w:tcBorders>
              <w:top w:val="nil"/>
              <w:left w:val="nil"/>
              <w:bottom w:val="nil"/>
              <w:right w:val="nil"/>
            </w:tcBorders>
            <w:shd w:val="clear" w:color="auto" w:fill="auto"/>
            <w:vAlign w:val="bottom"/>
          </w:tcPr>
          <w:p w14:paraId="31219615">
            <w:pPr>
              <w:widowControl/>
              <w:spacing w:after="0" w:line="240" w:lineRule="auto"/>
              <w:jc w:val="center"/>
              <w:rPr>
                <w:rFonts w:ascii="Times New Roman" w:hAnsi="Times New Roman" w:eastAsia="Times New Roman" w:cs="Times New Roman"/>
                <w:kern w:val="0"/>
                <w:sz w:val="20"/>
                <w:szCs w:val="20"/>
                <w14:ligatures w14:val="none"/>
              </w:rPr>
            </w:pPr>
          </w:p>
        </w:tc>
        <w:tc>
          <w:tcPr>
            <w:tcW w:w="1135" w:type="dxa"/>
            <w:tcBorders>
              <w:top w:val="nil"/>
              <w:left w:val="nil"/>
              <w:bottom w:val="nil"/>
              <w:right w:val="nil"/>
            </w:tcBorders>
            <w:shd w:val="clear" w:color="auto" w:fill="auto"/>
            <w:vAlign w:val="bottom"/>
          </w:tcPr>
          <w:p w14:paraId="70877260">
            <w:pPr>
              <w:widowControl/>
              <w:spacing w:after="0" w:line="240" w:lineRule="auto"/>
              <w:jc w:val="center"/>
              <w:rPr>
                <w:rFonts w:ascii="Times New Roman" w:hAnsi="Times New Roman" w:eastAsia="Times New Roman" w:cs="Times New Roman"/>
                <w:kern w:val="0"/>
                <w:sz w:val="20"/>
                <w:szCs w:val="20"/>
                <w14:ligatures w14:val="none"/>
              </w:rPr>
            </w:pPr>
          </w:p>
        </w:tc>
      </w:tr>
      <w:tr w14:paraId="680ED040">
        <w:tblPrEx>
          <w:tblLayout w:type="fixed"/>
        </w:tblPrEx>
        <w:trPr>
          <w:trHeight w:val="280" w:hRule="atLeast"/>
        </w:trPr>
        <w:tc>
          <w:tcPr>
            <w:tcW w:w="1560" w:type="dxa"/>
            <w:tcBorders>
              <w:top w:val="nil"/>
              <w:left w:val="nil"/>
              <w:bottom w:val="nil"/>
              <w:right w:val="nil"/>
            </w:tcBorders>
            <w:shd w:val="clear" w:color="auto" w:fill="auto"/>
            <w:vAlign w:val="bottom"/>
          </w:tcPr>
          <w:p w14:paraId="6BAA706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PT(</w:t>
            </w:r>
            <w:r>
              <w:rPr>
                <w:rFonts w:hint="eastAsia" w:ascii="等线" w:hAnsi="等线" w:eastAsia="等线" w:cs="宋体"/>
                <w:color w:val="000000"/>
                <w:kern w:val="0"/>
                <w:szCs w:val="22"/>
                <w14:ligatures w14:val="none"/>
              </w:rPr>
              <w:t>1)</w:t>
            </w:r>
          </w:p>
        </w:tc>
        <w:tc>
          <w:tcPr>
            <w:tcW w:w="940" w:type="dxa"/>
            <w:tcBorders>
              <w:top w:val="nil"/>
              <w:left w:val="nil"/>
              <w:bottom w:val="nil"/>
              <w:right w:val="nil"/>
            </w:tcBorders>
            <w:shd w:val="clear" w:color="auto" w:fill="auto"/>
            <w:vAlign w:val="center"/>
          </w:tcPr>
          <w:p w14:paraId="04A7D0AE">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18.45</w:t>
            </w:r>
          </w:p>
        </w:tc>
        <w:tc>
          <w:tcPr>
            <w:tcW w:w="1100" w:type="dxa"/>
            <w:tcBorders>
              <w:top w:val="nil"/>
              <w:left w:val="nil"/>
              <w:bottom w:val="nil"/>
              <w:right w:val="nil"/>
            </w:tcBorders>
            <w:shd w:val="clear" w:color="auto" w:fill="auto"/>
            <w:vAlign w:val="center"/>
          </w:tcPr>
          <w:p w14:paraId="34FD56F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29235.68</w:t>
            </w:r>
          </w:p>
        </w:tc>
        <w:tc>
          <w:tcPr>
            <w:tcW w:w="880" w:type="dxa"/>
            <w:tcBorders>
              <w:top w:val="nil"/>
              <w:left w:val="nil"/>
              <w:bottom w:val="nil"/>
              <w:right w:val="nil"/>
            </w:tcBorders>
            <w:shd w:val="clear" w:color="auto" w:fill="auto"/>
            <w:vAlign w:val="center"/>
          </w:tcPr>
          <w:p w14:paraId="75FEEF1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nil"/>
              <w:right w:val="nil"/>
            </w:tcBorders>
            <w:shd w:val="clear" w:color="auto" w:fill="auto"/>
            <w:vAlign w:val="bottom"/>
          </w:tcPr>
          <w:p w14:paraId="502734A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0.999</w:t>
            </w:r>
          </w:p>
        </w:tc>
        <w:tc>
          <w:tcPr>
            <w:tcW w:w="1887" w:type="dxa"/>
            <w:tcBorders>
              <w:top w:val="nil"/>
              <w:left w:val="nil"/>
              <w:bottom w:val="nil"/>
              <w:right w:val="nil"/>
            </w:tcBorders>
            <w:shd w:val="clear" w:color="auto" w:fill="auto"/>
            <w:vAlign w:val="bottom"/>
          </w:tcPr>
          <w:p w14:paraId="0B1AADE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102688179.44</w:t>
            </w:r>
          </w:p>
        </w:tc>
        <w:tc>
          <w:tcPr>
            <w:tcW w:w="625" w:type="dxa"/>
            <w:tcBorders>
              <w:top w:val="nil"/>
              <w:left w:val="nil"/>
              <w:bottom w:val="nil"/>
              <w:right w:val="nil"/>
            </w:tcBorders>
            <w:shd w:val="clear" w:color="auto" w:fill="auto"/>
            <w:vAlign w:val="bottom"/>
          </w:tcPr>
          <w:p w14:paraId="198F21B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1135" w:type="dxa"/>
            <w:tcBorders>
              <w:top w:val="nil"/>
              <w:left w:val="nil"/>
              <w:bottom w:val="nil"/>
              <w:right w:val="nil"/>
            </w:tcBorders>
            <w:shd w:val="clear" w:color="auto" w:fill="auto"/>
            <w:vAlign w:val="bottom"/>
          </w:tcPr>
          <w:p w14:paraId="230DEB7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w:t>
            </w:r>
          </w:p>
        </w:tc>
      </w:tr>
      <w:tr w14:paraId="16049DFE">
        <w:tblPrEx>
          <w:tblLayout w:type="fixed"/>
        </w:tblPrEx>
        <w:trPr>
          <w:trHeight w:val="280" w:hRule="atLeast"/>
        </w:trPr>
        <w:tc>
          <w:tcPr>
            <w:tcW w:w="1560" w:type="dxa"/>
            <w:tcBorders>
              <w:top w:val="nil"/>
              <w:left w:val="nil"/>
              <w:bottom w:val="nil"/>
              <w:right w:val="nil"/>
            </w:tcBorders>
            <w:shd w:val="clear" w:color="auto" w:fill="auto"/>
            <w:vAlign w:val="bottom"/>
          </w:tcPr>
          <w:p w14:paraId="1B5824E8">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PT(</w:t>
            </w:r>
            <w:r>
              <w:rPr>
                <w:rFonts w:hint="eastAsia" w:ascii="等线" w:hAnsi="等线" w:eastAsia="等线" w:cs="宋体"/>
                <w:color w:val="000000"/>
                <w:kern w:val="0"/>
                <w:szCs w:val="22"/>
                <w14:ligatures w14:val="none"/>
              </w:rPr>
              <w:t>2)</w:t>
            </w:r>
          </w:p>
        </w:tc>
        <w:tc>
          <w:tcPr>
            <w:tcW w:w="940" w:type="dxa"/>
            <w:tcBorders>
              <w:top w:val="nil"/>
              <w:left w:val="nil"/>
              <w:bottom w:val="nil"/>
              <w:right w:val="nil"/>
            </w:tcBorders>
            <w:shd w:val="clear" w:color="auto" w:fill="auto"/>
            <w:vAlign w:val="center"/>
          </w:tcPr>
          <w:p w14:paraId="1F8CA33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-29.79</w:t>
            </w:r>
          </w:p>
        </w:tc>
        <w:tc>
          <w:tcPr>
            <w:tcW w:w="1100" w:type="dxa"/>
            <w:tcBorders>
              <w:top w:val="nil"/>
              <w:left w:val="nil"/>
              <w:bottom w:val="nil"/>
              <w:right w:val="nil"/>
            </w:tcBorders>
            <w:shd w:val="clear" w:color="auto" w:fill="auto"/>
            <w:vAlign w:val="center"/>
          </w:tcPr>
          <w:p w14:paraId="715E1AAB">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37330.28</w:t>
            </w:r>
          </w:p>
        </w:tc>
        <w:tc>
          <w:tcPr>
            <w:tcW w:w="880" w:type="dxa"/>
            <w:tcBorders>
              <w:top w:val="nil"/>
              <w:left w:val="nil"/>
              <w:bottom w:val="nil"/>
              <w:right w:val="nil"/>
            </w:tcBorders>
            <w:shd w:val="clear" w:color="auto" w:fill="auto"/>
            <w:vAlign w:val="center"/>
          </w:tcPr>
          <w:p w14:paraId="4231F9F9">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nil"/>
              <w:right w:val="nil"/>
            </w:tcBorders>
            <w:shd w:val="clear" w:color="auto" w:fill="auto"/>
            <w:vAlign w:val="bottom"/>
          </w:tcPr>
          <w:p w14:paraId="124F960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0.999</w:t>
            </w:r>
          </w:p>
        </w:tc>
        <w:tc>
          <w:tcPr>
            <w:tcW w:w="1887" w:type="dxa"/>
            <w:tcBorders>
              <w:top w:val="nil"/>
              <w:left w:val="nil"/>
              <w:bottom w:val="nil"/>
              <w:right w:val="nil"/>
            </w:tcBorders>
            <w:shd w:val="clear" w:color="auto" w:fill="auto"/>
            <w:vAlign w:val="bottom"/>
          </w:tcPr>
          <w:p w14:paraId="123A885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625" w:type="dxa"/>
            <w:tcBorders>
              <w:top w:val="nil"/>
              <w:left w:val="nil"/>
              <w:bottom w:val="nil"/>
              <w:right w:val="nil"/>
            </w:tcBorders>
            <w:shd w:val="clear" w:color="auto" w:fill="auto"/>
            <w:vAlign w:val="bottom"/>
          </w:tcPr>
          <w:p w14:paraId="6A8C711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1135" w:type="dxa"/>
            <w:tcBorders>
              <w:top w:val="nil"/>
              <w:left w:val="nil"/>
              <w:bottom w:val="nil"/>
              <w:right w:val="nil"/>
            </w:tcBorders>
            <w:shd w:val="clear" w:color="auto" w:fill="auto"/>
            <w:vAlign w:val="bottom"/>
          </w:tcPr>
          <w:p w14:paraId="28DBDEF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w:t>
            </w:r>
          </w:p>
        </w:tc>
      </w:tr>
      <w:tr w14:paraId="5CFCF24E">
        <w:tblPrEx>
          <w:tblLayout w:type="fixed"/>
        </w:tblPrEx>
        <w:trPr>
          <w:trHeight w:val="280" w:hRule="atLeast"/>
        </w:trPr>
        <w:tc>
          <w:tcPr>
            <w:tcW w:w="1560" w:type="dxa"/>
            <w:tcBorders>
              <w:top w:val="nil"/>
              <w:left w:val="nil"/>
              <w:bottom w:val="nil"/>
              <w:right w:val="nil"/>
            </w:tcBorders>
            <w:shd w:val="clear" w:color="auto" w:fill="auto"/>
            <w:vAlign w:val="bottom"/>
          </w:tcPr>
          <w:p w14:paraId="4A2DD5F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APTT(</w:t>
            </w:r>
            <w:r>
              <w:rPr>
                <w:rFonts w:hint="eastAsia" w:ascii="等线" w:hAnsi="等线" w:eastAsia="等线" w:cs="宋体"/>
                <w:color w:val="000000"/>
                <w:kern w:val="0"/>
                <w:szCs w:val="22"/>
                <w14:ligatures w14:val="none"/>
              </w:rPr>
              <w:t>1)</w:t>
            </w:r>
          </w:p>
        </w:tc>
        <w:tc>
          <w:tcPr>
            <w:tcW w:w="940" w:type="dxa"/>
            <w:tcBorders>
              <w:top w:val="nil"/>
              <w:left w:val="nil"/>
              <w:bottom w:val="nil"/>
              <w:right w:val="nil"/>
            </w:tcBorders>
            <w:shd w:val="clear" w:color="auto" w:fill="auto"/>
            <w:vAlign w:val="center"/>
          </w:tcPr>
          <w:p w14:paraId="5B76438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25.95</w:t>
            </w:r>
          </w:p>
        </w:tc>
        <w:tc>
          <w:tcPr>
            <w:tcW w:w="1100" w:type="dxa"/>
            <w:tcBorders>
              <w:top w:val="nil"/>
              <w:left w:val="nil"/>
              <w:bottom w:val="nil"/>
              <w:right w:val="nil"/>
            </w:tcBorders>
            <w:shd w:val="clear" w:color="auto" w:fill="auto"/>
            <w:vAlign w:val="center"/>
          </w:tcPr>
          <w:p w14:paraId="6308F02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6878.97</w:t>
            </w:r>
          </w:p>
        </w:tc>
        <w:tc>
          <w:tcPr>
            <w:tcW w:w="880" w:type="dxa"/>
            <w:tcBorders>
              <w:top w:val="nil"/>
              <w:left w:val="nil"/>
              <w:bottom w:val="nil"/>
              <w:right w:val="nil"/>
            </w:tcBorders>
            <w:shd w:val="clear" w:color="auto" w:fill="auto"/>
            <w:vAlign w:val="center"/>
          </w:tcPr>
          <w:p w14:paraId="68F2C44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nil"/>
              <w:right w:val="nil"/>
            </w:tcBorders>
            <w:shd w:val="clear" w:color="auto" w:fill="auto"/>
            <w:vAlign w:val="bottom"/>
          </w:tcPr>
          <w:p w14:paraId="446131D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0.997</w:t>
            </w:r>
          </w:p>
        </w:tc>
        <w:tc>
          <w:tcPr>
            <w:tcW w:w="1887" w:type="dxa"/>
            <w:tcBorders>
              <w:top w:val="nil"/>
              <w:left w:val="nil"/>
              <w:bottom w:val="nil"/>
              <w:right w:val="nil"/>
            </w:tcBorders>
            <w:shd w:val="clear" w:color="auto" w:fill="auto"/>
            <w:vAlign w:val="bottom"/>
          </w:tcPr>
          <w:p w14:paraId="5FC1A83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186231435743.80</w:t>
            </w:r>
          </w:p>
        </w:tc>
        <w:tc>
          <w:tcPr>
            <w:tcW w:w="625" w:type="dxa"/>
            <w:tcBorders>
              <w:top w:val="nil"/>
              <w:left w:val="nil"/>
              <w:bottom w:val="nil"/>
              <w:right w:val="nil"/>
            </w:tcBorders>
            <w:shd w:val="clear" w:color="auto" w:fill="auto"/>
            <w:vAlign w:val="bottom"/>
          </w:tcPr>
          <w:p w14:paraId="236059FF">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1135" w:type="dxa"/>
            <w:tcBorders>
              <w:top w:val="nil"/>
              <w:left w:val="nil"/>
              <w:bottom w:val="nil"/>
              <w:right w:val="nil"/>
            </w:tcBorders>
            <w:shd w:val="clear" w:color="auto" w:fill="auto"/>
            <w:vAlign w:val="bottom"/>
          </w:tcPr>
          <w:p w14:paraId="42694EB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w:t>
            </w:r>
          </w:p>
        </w:tc>
      </w:tr>
      <w:tr w14:paraId="0EA9E5E2">
        <w:tblPrEx>
          <w:tblLayout w:type="fixed"/>
        </w:tblPrEx>
        <w:trPr>
          <w:trHeight w:val="280" w:hRule="atLeast"/>
        </w:trPr>
        <w:tc>
          <w:tcPr>
            <w:tcW w:w="1560" w:type="dxa"/>
            <w:tcBorders>
              <w:top w:val="nil"/>
              <w:left w:val="nil"/>
              <w:bottom w:val="nil"/>
              <w:right w:val="nil"/>
            </w:tcBorders>
            <w:shd w:val="clear" w:color="auto" w:fill="auto"/>
            <w:vAlign w:val="bottom"/>
          </w:tcPr>
          <w:p w14:paraId="6EE88CE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FIB(</w:t>
            </w:r>
            <w:r>
              <w:rPr>
                <w:rFonts w:hint="eastAsia" w:ascii="等线" w:hAnsi="等线" w:eastAsia="等线" w:cs="宋体"/>
                <w:color w:val="000000"/>
                <w:kern w:val="0"/>
                <w:szCs w:val="22"/>
                <w14:ligatures w14:val="none"/>
              </w:rPr>
              <w:t>1)</w:t>
            </w:r>
          </w:p>
        </w:tc>
        <w:tc>
          <w:tcPr>
            <w:tcW w:w="940" w:type="dxa"/>
            <w:tcBorders>
              <w:top w:val="nil"/>
              <w:left w:val="nil"/>
              <w:bottom w:val="nil"/>
              <w:right w:val="nil"/>
            </w:tcBorders>
            <w:shd w:val="clear" w:color="auto" w:fill="auto"/>
            <w:vAlign w:val="center"/>
          </w:tcPr>
          <w:p w14:paraId="6A724957">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-1.16</w:t>
            </w:r>
          </w:p>
        </w:tc>
        <w:tc>
          <w:tcPr>
            <w:tcW w:w="1100" w:type="dxa"/>
            <w:tcBorders>
              <w:top w:val="nil"/>
              <w:left w:val="nil"/>
              <w:bottom w:val="nil"/>
              <w:right w:val="nil"/>
            </w:tcBorders>
            <w:shd w:val="clear" w:color="auto" w:fill="auto"/>
            <w:vAlign w:val="center"/>
          </w:tcPr>
          <w:p w14:paraId="3D747D2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1.22</w:t>
            </w:r>
          </w:p>
        </w:tc>
        <w:tc>
          <w:tcPr>
            <w:tcW w:w="880" w:type="dxa"/>
            <w:tcBorders>
              <w:top w:val="nil"/>
              <w:left w:val="nil"/>
              <w:bottom w:val="nil"/>
              <w:right w:val="nil"/>
            </w:tcBorders>
            <w:shd w:val="clear" w:color="auto" w:fill="auto"/>
            <w:vAlign w:val="center"/>
          </w:tcPr>
          <w:p w14:paraId="38F10B6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0.90</w:t>
            </w:r>
          </w:p>
        </w:tc>
        <w:tc>
          <w:tcPr>
            <w:tcW w:w="907" w:type="dxa"/>
            <w:tcBorders>
              <w:top w:val="nil"/>
              <w:left w:val="nil"/>
              <w:bottom w:val="nil"/>
              <w:right w:val="nil"/>
            </w:tcBorders>
            <w:shd w:val="clear" w:color="auto" w:fill="auto"/>
            <w:vAlign w:val="bottom"/>
          </w:tcPr>
          <w:p w14:paraId="124EE23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0.343</w:t>
            </w:r>
          </w:p>
        </w:tc>
        <w:tc>
          <w:tcPr>
            <w:tcW w:w="1887" w:type="dxa"/>
            <w:tcBorders>
              <w:top w:val="nil"/>
              <w:left w:val="nil"/>
              <w:bottom w:val="nil"/>
              <w:right w:val="nil"/>
            </w:tcBorders>
            <w:shd w:val="clear" w:color="auto" w:fill="auto"/>
            <w:vAlign w:val="bottom"/>
          </w:tcPr>
          <w:p w14:paraId="7748CDC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0.31</w:t>
            </w:r>
          </w:p>
        </w:tc>
        <w:tc>
          <w:tcPr>
            <w:tcW w:w="625" w:type="dxa"/>
            <w:tcBorders>
              <w:top w:val="nil"/>
              <w:left w:val="nil"/>
              <w:bottom w:val="nil"/>
              <w:right w:val="nil"/>
            </w:tcBorders>
            <w:shd w:val="clear" w:color="auto" w:fill="auto"/>
            <w:vAlign w:val="bottom"/>
          </w:tcPr>
          <w:p w14:paraId="3F0BA39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0.03</w:t>
            </w:r>
          </w:p>
        </w:tc>
        <w:tc>
          <w:tcPr>
            <w:tcW w:w="1135" w:type="dxa"/>
            <w:tcBorders>
              <w:top w:val="nil"/>
              <w:left w:val="nil"/>
              <w:bottom w:val="nil"/>
              <w:right w:val="nil"/>
            </w:tcBorders>
            <w:shd w:val="clear" w:color="auto" w:fill="auto"/>
            <w:vAlign w:val="bottom"/>
          </w:tcPr>
          <w:p w14:paraId="3C9080C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3.45</w:t>
            </w:r>
          </w:p>
        </w:tc>
      </w:tr>
      <w:tr w14:paraId="1756FFB2">
        <w:tblPrEx>
          <w:tblLayout w:type="fixed"/>
        </w:tblPrEx>
        <w:trPr>
          <w:trHeight w:val="280" w:hRule="atLeast"/>
        </w:trPr>
        <w:tc>
          <w:tcPr>
            <w:tcW w:w="1560" w:type="dxa"/>
            <w:tcBorders>
              <w:top w:val="nil"/>
              <w:left w:val="nil"/>
              <w:bottom w:val="nil"/>
              <w:right w:val="nil"/>
            </w:tcBorders>
            <w:shd w:val="clear" w:color="auto" w:fill="auto"/>
            <w:vAlign w:val="bottom"/>
          </w:tcPr>
          <w:p w14:paraId="26E4C56D">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ALT(</w:t>
            </w:r>
            <w:r>
              <w:rPr>
                <w:rFonts w:hint="eastAsia" w:ascii="等线" w:hAnsi="等线" w:eastAsia="等线" w:cs="宋体"/>
                <w:color w:val="000000"/>
                <w:kern w:val="0"/>
                <w:szCs w:val="22"/>
                <w14:ligatures w14:val="none"/>
              </w:rPr>
              <w:t>1)</w:t>
            </w:r>
          </w:p>
        </w:tc>
        <w:tc>
          <w:tcPr>
            <w:tcW w:w="940" w:type="dxa"/>
            <w:tcBorders>
              <w:top w:val="nil"/>
              <w:left w:val="nil"/>
              <w:bottom w:val="nil"/>
              <w:right w:val="nil"/>
            </w:tcBorders>
            <w:shd w:val="clear" w:color="auto" w:fill="auto"/>
            <w:vAlign w:val="center"/>
          </w:tcPr>
          <w:p w14:paraId="3176B48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-2.60</w:t>
            </w:r>
          </w:p>
        </w:tc>
        <w:tc>
          <w:tcPr>
            <w:tcW w:w="1100" w:type="dxa"/>
            <w:tcBorders>
              <w:top w:val="nil"/>
              <w:left w:val="nil"/>
              <w:bottom w:val="nil"/>
              <w:right w:val="nil"/>
            </w:tcBorders>
            <w:shd w:val="clear" w:color="auto" w:fill="auto"/>
            <w:vAlign w:val="center"/>
          </w:tcPr>
          <w:p w14:paraId="31F84EE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1.39</w:t>
            </w:r>
          </w:p>
        </w:tc>
        <w:tc>
          <w:tcPr>
            <w:tcW w:w="880" w:type="dxa"/>
            <w:tcBorders>
              <w:top w:val="nil"/>
              <w:left w:val="nil"/>
              <w:bottom w:val="nil"/>
              <w:right w:val="nil"/>
            </w:tcBorders>
            <w:shd w:val="clear" w:color="auto" w:fill="auto"/>
            <w:vAlign w:val="center"/>
          </w:tcPr>
          <w:p w14:paraId="1DF8903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3.52</w:t>
            </w:r>
          </w:p>
        </w:tc>
        <w:tc>
          <w:tcPr>
            <w:tcW w:w="907" w:type="dxa"/>
            <w:tcBorders>
              <w:top w:val="nil"/>
              <w:left w:val="nil"/>
              <w:bottom w:val="nil"/>
              <w:right w:val="nil"/>
            </w:tcBorders>
            <w:shd w:val="clear" w:color="auto" w:fill="auto"/>
            <w:vAlign w:val="bottom"/>
          </w:tcPr>
          <w:p w14:paraId="63C0AD8C">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0.061</w:t>
            </w:r>
          </w:p>
        </w:tc>
        <w:tc>
          <w:tcPr>
            <w:tcW w:w="1887" w:type="dxa"/>
            <w:tcBorders>
              <w:top w:val="nil"/>
              <w:left w:val="nil"/>
              <w:bottom w:val="nil"/>
              <w:right w:val="nil"/>
            </w:tcBorders>
            <w:shd w:val="clear" w:color="auto" w:fill="auto"/>
            <w:vAlign w:val="bottom"/>
          </w:tcPr>
          <w:p w14:paraId="71CEB676">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0.07</w:t>
            </w:r>
          </w:p>
        </w:tc>
        <w:tc>
          <w:tcPr>
            <w:tcW w:w="625" w:type="dxa"/>
            <w:tcBorders>
              <w:top w:val="nil"/>
              <w:left w:val="nil"/>
              <w:bottom w:val="nil"/>
              <w:right w:val="nil"/>
            </w:tcBorders>
            <w:shd w:val="clear" w:color="auto" w:fill="auto"/>
            <w:vAlign w:val="bottom"/>
          </w:tcPr>
          <w:p w14:paraId="223ACE92">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0.01</w:t>
            </w:r>
          </w:p>
        </w:tc>
        <w:tc>
          <w:tcPr>
            <w:tcW w:w="1135" w:type="dxa"/>
            <w:tcBorders>
              <w:top w:val="nil"/>
              <w:left w:val="nil"/>
              <w:bottom w:val="nil"/>
              <w:right w:val="nil"/>
            </w:tcBorders>
            <w:shd w:val="clear" w:color="auto" w:fill="auto"/>
            <w:vAlign w:val="bottom"/>
          </w:tcPr>
          <w:p w14:paraId="45137AB3">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1.13</w:t>
            </w:r>
          </w:p>
        </w:tc>
      </w:tr>
      <w:tr w14:paraId="4D68604E">
        <w:tblPrEx>
          <w:tblLayout w:type="fixed"/>
        </w:tblPrEx>
        <w:trPr>
          <w:trHeight w:val="280" w:hRule="atLeast"/>
        </w:trPr>
        <w:tc>
          <w:tcPr>
            <w:tcW w:w="1560" w:type="dxa"/>
            <w:tcBorders>
              <w:top w:val="nil"/>
              <w:left w:val="nil"/>
              <w:bottom w:val="single" w:color="auto" w:sz="4" w:space="0"/>
              <w:right w:val="nil"/>
            </w:tcBorders>
            <w:shd w:val="clear" w:color="auto" w:fill="auto"/>
            <w:vAlign w:val="bottom"/>
          </w:tcPr>
          <w:p w14:paraId="7F9BFAE5">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常量</w:t>
            </w:r>
          </w:p>
        </w:tc>
        <w:tc>
          <w:tcPr>
            <w:tcW w:w="940" w:type="dxa"/>
            <w:tcBorders>
              <w:top w:val="nil"/>
              <w:left w:val="nil"/>
              <w:bottom w:val="single" w:color="auto" w:sz="4" w:space="0"/>
              <w:right w:val="nil"/>
            </w:tcBorders>
            <w:shd w:val="clear" w:color="auto" w:fill="auto"/>
            <w:vAlign w:val="center"/>
          </w:tcPr>
          <w:p w14:paraId="1DF51BF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-44.00</w:t>
            </w:r>
          </w:p>
        </w:tc>
        <w:tc>
          <w:tcPr>
            <w:tcW w:w="1100" w:type="dxa"/>
            <w:tcBorders>
              <w:top w:val="nil"/>
              <w:left w:val="nil"/>
              <w:bottom w:val="single" w:color="auto" w:sz="4" w:space="0"/>
              <w:right w:val="nil"/>
            </w:tcBorders>
            <w:shd w:val="clear" w:color="auto" w:fill="auto"/>
            <w:vAlign w:val="center"/>
          </w:tcPr>
          <w:p w14:paraId="5F3F182A">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31570.34</w:t>
            </w:r>
          </w:p>
        </w:tc>
        <w:tc>
          <w:tcPr>
            <w:tcW w:w="880" w:type="dxa"/>
            <w:tcBorders>
              <w:top w:val="nil"/>
              <w:left w:val="nil"/>
              <w:bottom w:val="single" w:color="auto" w:sz="4" w:space="0"/>
              <w:right w:val="nil"/>
            </w:tcBorders>
            <w:shd w:val="clear" w:color="auto" w:fill="auto"/>
            <w:vAlign w:val="center"/>
          </w:tcPr>
          <w:p w14:paraId="128EF50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907" w:type="dxa"/>
            <w:tcBorders>
              <w:top w:val="nil"/>
              <w:left w:val="nil"/>
              <w:bottom w:val="single" w:color="auto" w:sz="4" w:space="0"/>
              <w:right w:val="nil"/>
            </w:tcBorders>
            <w:shd w:val="clear" w:color="auto" w:fill="auto"/>
            <w:vAlign w:val="bottom"/>
          </w:tcPr>
          <w:p w14:paraId="1159D081">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0.999</w:t>
            </w:r>
          </w:p>
        </w:tc>
        <w:tc>
          <w:tcPr>
            <w:tcW w:w="1887" w:type="dxa"/>
            <w:tcBorders>
              <w:top w:val="nil"/>
              <w:left w:val="nil"/>
              <w:bottom w:val="single" w:color="auto" w:sz="4" w:space="0"/>
              <w:right w:val="nil"/>
            </w:tcBorders>
            <w:shd w:val="clear" w:color="auto" w:fill="auto"/>
            <w:vAlign w:val="bottom"/>
          </w:tcPr>
          <w:p w14:paraId="3DA08DA0">
            <w:pPr>
              <w:widowControl/>
              <w:spacing w:after="0" w:line="240" w:lineRule="auto"/>
              <w:jc w:val="center"/>
              <w:rPr>
                <w:rFonts w:hint="eastAsia" w:ascii="等线" w:hAnsi="等线" w:eastAsia="等线" w:cs="宋体"/>
                <w:color w:val="000000"/>
                <w:kern w:val="0"/>
                <w:szCs w:val="22"/>
                <w14:ligatures w14:val="none"/>
              </w:rPr>
            </w:pPr>
            <w:r>
              <w:rPr>
                <w:rFonts w:hint="eastAsia" w:ascii="等线" w:hAnsi="等线" w:eastAsia="等线" w:cs="宋体"/>
                <w:color w:val="000000"/>
                <w:kern w:val="0"/>
                <w:szCs w:val="22"/>
                <w14:ligatures w14:val="none"/>
              </w:rPr>
              <w:t>0.00</w:t>
            </w:r>
          </w:p>
        </w:tc>
        <w:tc>
          <w:tcPr>
            <w:tcW w:w="625" w:type="dxa"/>
            <w:tcBorders>
              <w:top w:val="nil"/>
              <w:left w:val="nil"/>
              <w:bottom w:val="single" w:color="auto" w:sz="4" w:space="0"/>
              <w:right w:val="nil"/>
            </w:tcBorders>
            <w:shd w:val="clear" w:color="auto" w:fill="auto"/>
            <w:vAlign w:val="bottom"/>
          </w:tcPr>
          <w:p w14:paraId="536605C5">
            <w:pPr>
              <w:widowControl/>
              <w:spacing w:after="0" w:line="240" w:lineRule="auto"/>
              <w:jc w:val="center"/>
              <w:rPr>
                <w:rFonts w:hint="eastAsia" w:ascii="等线" w:hAnsi="等线" w:eastAsia="等线" w:cs="宋体"/>
                <w:color w:val="000000"/>
                <w:kern w:val="0"/>
                <w:szCs w:val="22"/>
                <w14:ligatures w14:val="none"/>
              </w:rPr>
            </w:pPr>
          </w:p>
        </w:tc>
        <w:tc>
          <w:tcPr>
            <w:tcW w:w="1135" w:type="dxa"/>
            <w:tcBorders>
              <w:top w:val="nil"/>
              <w:left w:val="nil"/>
              <w:bottom w:val="single" w:color="auto" w:sz="4" w:space="0"/>
              <w:right w:val="nil"/>
            </w:tcBorders>
            <w:shd w:val="clear" w:color="auto" w:fill="auto"/>
            <w:vAlign w:val="bottom"/>
          </w:tcPr>
          <w:p w14:paraId="0BF83DD2">
            <w:pPr>
              <w:widowControl/>
              <w:spacing w:after="0" w:line="240" w:lineRule="auto"/>
              <w:jc w:val="center"/>
              <w:rPr>
                <w:rFonts w:hint="eastAsia" w:ascii="等线" w:hAnsi="等线" w:eastAsia="等线" w:cs="宋体"/>
                <w:color w:val="000000"/>
                <w:kern w:val="0"/>
                <w:szCs w:val="22"/>
                <w14:ligatures w14:val="none"/>
              </w:rPr>
            </w:pPr>
          </w:p>
        </w:tc>
      </w:tr>
    </w:tbl>
    <w:p w14:paraId="78C76A86">
      <w:pPr>
        <w:rPr>
          <w:rFonts w:hint="eastAsia" w:ascii="宋体" w:hAnsi="宋体" w:eastAsia="宋体"/>
          <w:b/>
          <w:bCs/>
          <w:sz w:val="24"/>
        </w:rPr>
      </w:pPr>
    </w:p>
    <w:p w14:paraId="2B0FD2F3">
      <w:pPr>
        <w:rPr>
          <w:rFonts w:hint="eastAsia" w:ascii="宋体" w:hAnsi="宋体" w:eastAsia="宋体"/>
          <w:b/>
          <w:bCs/>
          <w:sz w:val="24"/>
        </w:rPr>
      </w:pPr>
      <w:r>
        <w:rPr>
          <w:rFonts w:hint="eastAsia" w:ascii="宋体" w:hAnsi="宋体" w:eastAsia="宋体"/>
          <w:b/>
          <w:bCs/>
          <w:sz w:val="24"/>
        </w:rPr>
        <w:t>3.讨论</w:t>
      </w:r>
    </w:p>
    <w:p w14:paraId="2CAA10B2">
      <w:pPr>
        <w:spacing w:line="240" w:lineRule="auto"/>
        <w:ind w:firstLine="480" w:firstLineChars="200"/>
        <w:rPr>
          <w:rFonts w:hint="eastAsia" w:ascii="宋体" w:hAnsi="宋体" w:eastAsia="宋体"/>
          <w:sz w:val="24"/>
        </w:rPr>
      </w:pPr>
      <w:r>
        <w:rPr>
          <w:rFonts w:hint="eastAsia" w:ascii="宋体" w:hAnsi="宋体" w:eastAsia="宋体"/>
          <w:sz w:val="24"/>
        </w:rPr>
        <w:t>我院计算机导航辅助骨科手术导航技术已经广泛应用于脊柱和骨关节等临床骨科手术，近年来也逐渐应用于骨肿瘤的外科治疗，包括各类骶骨瘤的手术切除</w:t>
      </w:r>
      <w:r>
        <w:rPr>
          <w:rFonts w:hint="eastAsia" w:ascii="宋体" w:hAnsi="宋体" w:eastAsia="宋体"/>
          <w:sz w:val="24"/>
          <w:vertAlign w:val="superscript"/>
        </w:rPr>
        <w:t xml:space="preserve"> [1]</w:t>
      </w:r>
      <w:r>
        <w:rPr>
          <w:rFonts w:hint="eastAsia" w:ascii="宋体" w:hAnsi="宋体" w:eastAsia="宋体"/>
          <w:sz w:val="24"/>
        </w:rPr>
        <w:t xml:space="preserve"> 。根据临床病例分析，对于确诊为骶骨瘤的患者，其适应症明确指向手术干预能够有效切除病灶。相比之下，非手术方式无法达到去除病灶的目的。手术不仅能够精准地去除肿瘤病灶，解除因肿瘤造成的压迫，还能通过彻底切除肿瘤来显著缓解疼痛等症状。因此，综合考虑手术与非手术治疗的效果，手术被确立为治疗骶骨瘤的最佳方案。</w:t>
      </w:r>
    </w:p>
    <w:p w14:paraId="7E456807">
      <w:pPr>
        <w:spacing w:line="240" w:lineRule="auto"/>
        <w:ind w:firstLine="480" w:firstLineChars="200"/>
        <w:rPr>
          <w:rFonts w:hint="eastAsia" w:ascii="宋体" w:hAnsi="宋体" w:eastAsia="宋体"/>
          <w:sz w:val="24"/>
        </w:rPr>
      </w:pPr>
      <w:r>
        <w:rPr>
          <w:rFonts w:hint="eastAsia" w:ascii="宋体" w:hAnsi="宋体" w:eastAsia="宋体"/>
          <w:sz w:val="24"/>
        </w:rPr>
        <w:t>手术时间的延长通常会导致术中失血增加和感染等风险，根范围据文献报道骶骨脊索切除术平均用时大多超过5h，失血量多在3000~5000mL</w:t>
      </w:r>
      <w:r>
        <w:rPr>
          <w:rFonts w:hint="eastAsia" w:ascii="宋体" w:hAnsi="宋体" w:eastAsia="宋体"/>
          <w:sz w:val="24"/>
          <w:vertAlign w:val="superscript"/>
        </w:rPr>
        <w:t>[1]</w:t>
      </w:r>
      <w:r>
        <w:rPr>
          <w:rFonts w:hint="eastAsia" w:ascii="宋体" w:hAnsi="宋体" w:eastAsia="宋体"/>
          <w:sz w:val="24"/>
        </w:rPr>
        <w:t>。骶骨作为骨盆后壁的重要组成部分，其供血极为丰富，因此在进行该区域的手术时，往往面临出血多且止血困难的挑战，使得手术难度大大增加。对于骶骨瘤的手术而言，主要采用边缘性切除或刮除的方法。然而，要确保手术真正达到安全有效的肿瘤治疗切除边界，不仅需要严谨精细的术前研究计划安排，还离不开医生丰富的手术操作经验。这两者是确保手术成功不可或缺的关键因素。</w:t>
      </w:r>
    </w:p>
    <w:p w14:paraId="6DAEA5C6">
      <w:pPr>
        <w:spacing w:line="240" w:lineRule="auto"/>
        <w:ind w:firstLine="480" w:firstLineChars="200"/>
        <w:rPr>
          <w:rFonts w:hint="eastAsia" w:ascii="宋体" w:hAnsi="宋体" w:eastAsia="宋体"/>
          <w:sz w:val="24"/>
        </w:rPr>
      </w:pPr>
      <w:r>
        <w:rPr>
          <w:rFonts w:hint="eastAsia" w:ascii="宋体" w:hAnsi="宋体" w:eastAsia="宋体"/>
          <w:sz w:val="24"/>
        </w:rPr>
        <w:t>手术是一个复杂的过程，需要多科室的紧密协作才能完成。自身输血作为减少异体血输入、避免传染病传播及异体抗原反应的最有效手段，一直受到输血界的广泛提倡。然而，由于自身输血具有严格的适应症，它仅是解决血液库存紧张、血液疾病及疑难血型问题的有效手段之一</w:t>
      </w:r>
      <w:r>
        <w:rPr>
          <w:rFonts w:hint="eastAsia" w:ascii="宋体" w:hAnsi="宋体" w:eastAsia="宋体"/>
          <w:sz w:val="24"/>
          <w:vertAlign w:val="superscript"/>
        </w:rPr>
        <w:t>[15]</w:t>
      </w:r>
      <w:r>
        <w:rPr>
          <w:rFonts w:hint="eastAsia" w:ascii="宋体" w:hAnsi="宋体" w:eastAsia="宋体"/>
          <w:sz w:val="24"/>
        </w:rPr>
        <w:t>。在骶骨瘤手术中，大多数情况下仍需依赖异体输血，这进一步体现了术前备血的重要性。为了确保骶骨瘤手术的顺利进行，临床医生在确定手术日期后，应提前与输血科沟通，并送检血样进行血型鉴定和不规则抗体筛查。</w:t>
      </w:r>
    </w:p>
    <w:p w14:paraId="75681293">
      <w:pPr>
        <w:spacing w:line="240" w:lineRule="auto"/>
        <w:ind w:firstLine="480" w:firstLineChars="200"/>
        <w:rPr>
          <w:rFonts w:ascii="宋体" w:hAnsi="宋体" w:eastAsia="宋体"/>
          <w:sz w:val="24"/>
        </w:rPr>
      </w:pPr>
      <w:bookmarkStart w:id="20" w:name="OLE_LINK7"/>
      <w:r>
        <w:rPr>
          <w:rFonts w:hint="eastAsia" w:ascii="宋体" w:hAnsi="宋体" w:eastAsia="宋体"/>
          <w:sz w:val="24"/>
        </w:rPr>
        <w:t>本研究结果表明，在骶骨瘤手术患者的单因素分析中，纤维蛋白原（FIB）、凝血酶原时间（PT）、活化部分凝血酶原时间（APTT）以及丙氨酸氨基转移酶（ALT）的水平，以及手术时长的差异，均呈现出统计学上的显著性（</w:t>
      </w:r>
      <w:r>
        <w:rPr>
          <w:rFonts w:hint="default" w:ascii="宋体" w:hAnsi="宋体" w:eastAsia="宋体"/>
          <w:i/>
          <w:iCs/>
          <w:sz w:val="24"/>
          <w:lang w:val="en-US"/>
        </w:rPr>
        <w:t>p</w:t>
      </w:r>
      <w:r>
        <w:rPr>
          <w:rFonts w:hint="eastAsia" w:ascii="宋体" w:hAnsi="宋体" w:eastAsia="宋体"/>
          <w:sz w:val="24"/>
        </w:rPr>
        <w:t>＜0.005），显示出一定的影响趋势。然而，这些因素并非骶骨瘤围手术期大量输血的直接术前决定性因素。此外，本研究还发现，血红蛋白（Hb）水平、</w:t>
      </w:r>
      <w:r>
        <w:rPr>
          <w:rFonts w:hint="eastAsia" w:ascii="宋体" w:hAnsi="宋体" w:eastAsia="宋体"/>
          <w:sz w:val="24"/>
          <w:lang w:eastAsia="zh-CN"/>
        </w:rPr>
        <w:t>全血</w:t>
      </w:r>
      <w:r>
        <w:rPr>
          <w:rFonts w:hint="eastAsia" w:ascii="宋体" w:hAnsi="宋体" w:eastAsia="宋体"/>
          <w:sz w:val="24"/>
        </w:rPr>
        <w:t>红细胞计数（RBC）、血细胞比容（Hct）、肿瘤的分类、麻醉分级、患者是否存在基础疾病、手术是否采用计算机导航辅助，以及具体的手术方式等，均未被证实为骶骨瘤围手术期大量输血的高危因素。上述结论均基于严谨的数据分析和充分的案例支持，确保了研究的客观性和权威性。</w:t>
      </w:r>
    </w:p>
    <w:p w14:paraId="52B5F910">
      <w:pPr>
        <w:spacing w:line="240" w:lineRule="auto"/>
        <w:ind w:firstLine="480" w:firstLineChars="200"/>
        <w:rPr>
          <w:rFonts w:ascii="宋体" w:hAnsi="宋体" w:eastAsia="宋体"/>
          <w:sz w:val="24"/>
        </w:rPr>
      </w:pPr>
      <w:r>
        <w:rPr>
          <w:rFonts w:hint="eastAsia" w:ascii="宋体" w:hAnsi="宋体" w:eastAsia="宋体"/>
          <w:sz w:val="24"/>
        </w:rPr>
        <w:t>我们对影响骶骨瘤手术大量输血的因素进行了logistic回归分析，结果显示：手术部位为骶尾部时输血风险降低4%（</w:t>
      </w:r>
      <w:r>
        <w:rPr>
          <w:rFonts w:hint="default" w:ascii="宋体" w:hAnsi="宋体" w:eastAsia="宋体"/>
          <w:i/>
          <w:iCs/>
          <w:sz w:val="24"/>
          <w:lang w:val="en-US"/>
        </w:rPr>
        <w:t>p</w:t>
      </w:r>
      <w:r>
        <w:rPr>
          <w:rFonts w:hint="eastAsia" w:ascii="宋体" w:hAnsi="宋体" w:eastAsia="宋体"/>
          <w:sz w:val="24"/>
        </w:rPr>
        <w:t>＜0.005），手术体位为俯卧位时输血风险增加近50倍（</w:t>
      </w:r>
      <w:r>
        <w:rPr>
          <w:rFonts w:hint="default" w:ascii="宋体" w:hAnsi="宋体" w:eastAsia="宋体"/>
          <w:i/>
          <w:iCs/>
          <w:sz w:val="24"/>
          <w:lang w:val="en-US"/>
        </w:rPr>
        <w:t>p</w:t>
      </w:r>
      <w:r>
        <w:rPr>
          <w:rFonts w:hint="eastAsia" w:ascii="宋体" w:hAnsi="宋体" w:eastAsia="宋体"/>
          <w:sz w:val="24"/>
        </w:rPr>
        <w:t>＜0.005），手术时长3~4小时时输血风险增加30倍（</w:t>
      </w:r>
      <w:r>
        <w:rPr>
          <w:rFonts w:hint="default" w:ascii="宋体" w:hAnsi="宋体" w:eastAsia="宋体"/>
          <w:i/>
          <w:iCs/>
          <w:sz w:val="24"/>
          <w:lang w:val="en-US"/>
        </w:rPr>
        <w:t>p</w:t>
      </w:r>
      <w:bookmarkStart w:id="21" w:name="_GoBack"/>
      <w:bookmarkEnd w:id="21"/>
      <w:r>
        <w:rPr>
          <w:rFonts w:hint="eastAsia" w:ascii="宋体" w:hAnsi="宋体" w:eastAsia="宋体"/>
          <w:sz w:val="24"/>
        </w:rPr>
        <w:t>＜0.005）。性别、年龄、全血细胞计数、凝血、肝功能等不是术前大量输血的危险因素。临床医生应关注手术位置和体位，以及手术时间长短。</w:t>
      </w:r>
    </w:p>
    <w:p w14:paraId="3E9559C6">
      <w:pPr>
        <w:spacing w:line="240" w:lineRule="auto"/>
        <w:ind w:firstLine="480" w:firstLineChars="200"/>
        <w:rPr>
          <w:rFonts w:hint="eastAsia" w:ascii="宋体" w:hAnsi="宋体" w:eastAsia="宋体"/>
          <w:sz w:val="24"/>
        </w:rPr>
      </w:pPr>
      <w:r>
        <w:rPr>
          <w:rFonts w:hint="eastAsia" w:ascii="宋体" w:hAnsi="宋体" w:eastAsia="宋体"/>
          <w:sz w:val="24"/>
        </w:rPr>
        <w:t>综上所述，在临床实践中，医生应针对这些高风险因素制定更为详尽的术前准备和术中管理计划，以降低输血风险。基于这些统计学显著性变量，医生可以对患者进行更为精准的术前评估和风险分层，从而制定个性化的输血管理策略。这有助于优化血液资源的使用，同时提高患者的手术安全性和满意度。通过定期回顾和分析输血病例，发现潜在的风险因素并采取相应措施进行干预，以不断提高输血管理的质量和效率。</w:t>
      </w:r>
    </w:p>
    <w:bookmarkEnd w:id="20"/>
    <w:p w14:paraId="62E6BFEC">
      <w:pPr>
        <w:jc w:val="center"/>
        <w:rPr>
          <w:rFonts w:hint="eastAsia" w:ascii="宋体" w:hAnsi="宋体" w:eastAsia="宋体"/>
          <w:b/>
          <w:bCs/>
          <w:sz w:val="24"/>
        </w:rPr>
      </w:pPr>
      <w:r>
        <w:rPr>
          <w:rFonts w:hint="eastAsia" w:ascii="宋体" w:hAnsi="宋体" w:eastAsia="宋体"/>
          <w:sz w:val="24"/>
        </w:rPr>
        <w:t xml:space="preserve">  </w:t>
      </w:r>
      <w:r>
        <w:rPr>
          <w:rFonts w:hint="eastAsia" w:ascii="宋体" w:hAnsi="宋体" w:eastAsia="宋体"/>
          <w:b/>
          <w:bCs/>
          <w:sz w:val="24"/>
        </w:rPr>
        <w:t>参 考 文 献</w:t>
      </w:r>
    </w:p>
    <w:p w14:paraId="495DBD0A">
      <w:pPr>
        <w:rPr>
          <w:rFonts w:hint="eastAsia" w:ascii="宋体" w:hAnsi="宋体" w:eastAsia="宋体"/>
          <w:sz w:val="21"/>
          <w:szCs w:val="21"/>
        </w:rPr>
      </w:pPr>
      <w:r>
        <w:rPr>
          <w:rFonts w:hint="eastAsia" w:ascii="宋体" w:hAnsi="宋体" w:eastAsia="宋体"/>
          <w:sz w:val="21"/>
          <w:szCs w:val="21"/>
        </w:rPr>
        <w:t>［１］</w:t>
      </w:r>
      <w:r>
        <w:rPr>
          <w:rFonts w:hint="eastAsia" w:ascii="宋体" w:hAnsi="宋体" w:eastAsia="宋体"/>
          <w:sz w:val="21"/>
          <w:szCs w:val="21"/>
        </w:rPr>
        <w:tab/>
      </w:r>
      <w:r>
        <w:rPr>
          <w:rFonts w:hint="eastAsia" w:ascii="宋体" w:hAnsi="宋体" w:eastAsia="宋体"/>
          <w:sz w:val="21"/>
          <w:szCs w:val="21"/>
        </w:rPr>
        <w:t>杨勇昆 李远 张清 牛晓辉.计算机导航辅助骶骨脊索瘤的精确切除的手术效果和安全性研究. 中国骨与关节杂志 2021 年 3 月第 10 卷第 3 期 Chinese Journal of Bone and Joint, March 2021, Vol 10, No.3.228-234.</w:t>
      </w:r>
    </w:p>
    <w:p w14:paraId="2C2A0F96">
      <w:pPr>
        <w:rPr>
          <w:rFonts w:hint="eastAsia" w:ascii="宋体" w:hAnsi="宋体" w:eastAsia="宋体"/>
          <w:sz w:val="21"/>
          <w:szCs w:val="21"/>
        </w:rPr>
      </w:pPr>
      <w:r>
        <w:rPr>
          <w:rFonts w:hint="eastAsia" w:ascii="宋体" w:hAnsi="宋体" w:eastAsia="宋体"/>
          <w:sz w:val="21"/>
          <w:szCs w:val="21"/>
        </w:rPr>
        <w:t>［２］</w:t>
      </w:r>
      <w:r>
        <w:rPr>
          <w:rFonts w:hint="eastAsia" w:ascii="宋体" w:hAnsi="宋体" w:eastAsia="宋体"/>
          <w:sz w:val="21"/>
          <w:szCs w:val="21"/>
        </w:rPr>
        <w:tab/>
      </w:r>
      <w:r>
        <w:rPr>
          <w:rFonts w:hint="eastAsia" w:ascii="宋体" w:hAnsi="宋体" w:eastAsia="宋体"/>
          <w:sz w:val="21"/>
          <w:szCs w:val="21"/>
        </w:rPr>
        <w:t>战春1，徐林2.手术治疗8例巨大骶骨瘤.中国中西医结合外科杂志2009年4月第15卷第2期。130-131</w:t>
      </w:r>
    </w:p>
    <w:p w14:paraId="64A4B6FF">
      <w:pPr>
        <w:rPr>
          <w:rFonts w:hint="eastAsia" w:ascii="宋体" w:hAnsi="宋体" w:eastAsia="宋体"/>
          <w:sz w:val="21"/>
          <w:szCs w:val="21"/>
        </w:rPr>
      </w:pPr>
      <w:r>
        <w:rPr>
          <w:rFonts w:hint="eastAsia" w:ascii="宋体" w:hAnsi="宋体" w:eastAsia="宋体"/>
          <w:sz w:val="21"/>
          <w:szCs w:val="21"/>
        </w:rPr>
        <w:t>［３］</w:t>
      </w:r>
      <w:r>
        <w:rPr>
          <w:rFonts w:hint="eastAsia" w:ascii="宋体" w:hAnsi="宋体" w:eastAsia="宋体"/>
          <w:sz w:val="21"/>
          <w:szCs w:val="21"/>
        </w:rPr>
        <w:tab/>
      </w:r>
      <w:r>
        <w:rPr>
          <w:rFonts w:hint="eastAsia" w:ascii="宋体" w:hAnsi="宋体" w:eastAsia="宋体"/>
          <w:sz w:val="21"/>
          <w:szCs w:val="21"/>
        </w:rPr>
        <w:t>陈元利1 ,傅 洪1 △ ,周润芳1 ,朱厚伟1 ,张 星1 ,孔令文2 ,廖 群，A型主动脉夹层患者围术期大量输血的术前危险因素分析.重庆医学.2023,52（24）；3775-3784.</w:t>
      </w:r>
    </w:p>
    <w:p w14:paraId="1E0D35BF">
      <w:pPr>
        <w:rPr>
          <w:rFonts w:hint="eastAsia" w:ascii="宋体" w:hAnsi="宋体" w:eastAsia="宋体"/>
          <w:sz w:val="21"/>
          <w:szCs w:val="21"/>
        </w:rPr>
      </w:pPr>
      <w:r>
        <w:rPr>
          <w:rFonts w:hint="eastAsia" w:ascii="宋体" w:hAnsi="宋体" w:eastAsia="宋体"/>
          <w:sz w:val="21"/>
          <w:szCs w:val="21"/>
        </w:rPr>
        <w:t>［４］</w:t>
      </w:r>
      <w:r>
        <w:rPr>
          <w:rFonts w:hint="eastAsia" w:ascii="宋体" w:hAnsi="宋体" w:eastAsia="宋体"/>
          <w:sz w:val="21"/>
          <w:szCs w:val="21"/>
        </w:rPr>
        <w:tab/>
      </w:r>
      <w:r>
        <w:rPr>
          <w:rFonts w:hint="eastAsia" w:ascii="宋体" w:hAnsi="宋体" w:eastAsia="宋体"/>
          <w:sz w:val="21"/>
          <w:szCs w:val="21"/>
        </w:rPr>
        <w:t>邵方真1 ，闫优萍1 ，朱俊2 ，常圣雅3 ，钟丽慧.血栓弹力图与FIB联合预测普外科患者围术期大量输血的效能评价.河南医学2024年5月第35卷第10期.1436-1439.</w:t>
      </w:r>
    </w:p>
    <w:p w14:paraId="7BD3A372">
      <w:pPr>
        <w:rPr>
          <w:rFonts w:hint="eastAsia" w:ascii="宋体" w:hAnsi="宋体" w:eastAsia="宋体"/>
          <w:sz w:val="21"/>
          <w:szCs w:val="21"/>
        </w:rPr>
      </w:pPr>
      <w:r>
        <w:rPr>
          <w:rFonts w:hint="eastAsia" w:ascii="宋体" w:hAnsi="宋体" w:eastAsia="宋体"/>
          <w:sz w:val="21"/>
          <w:szCs w:val="21"/>
        </w:rPr>
        <w:t>［５］</w:t>
      </w:r>
      <w:r>
        <w:rPr>
          <w:rFonts w:hint="eastAsia" w:ascii="宋体" w:hAnsi="宋体" w:eastAsia="宋体"/>
          <w:sz w:val="21"/>
          <w:szCs w:val="21"/>
        </w:rPr>
        <w:tab/>
      </w:r>
      <w:r>
        <w:rPr>
          <w:rFonts w:hint="eastAsia" w:ascii="宋体" w:hAnsi="宋体" w:eastAsia="宋体"/>
          <w:sz w:val="21"/>
          <w:szCs w:val="21"/>
        </w:rPr>
        <w:t>辛宏杰 .大量输血患者用血情况及检验结果的回顾性分析.临床研究2020年04月第28卷第04期：31-32</w:t>
      </w:r>
    </w:p>
    <w:p w14:paraId="01323C10">
      <w:pPr>
        <w:rPr>
          <w:rFonts w:hint="eastAsia" w:ascii="宋体" w:hAnsi="宋体" w:eastAsia="宋体"/>
          <w:sz w:val="21"/>
          <w:szCs w:val="21"/>
        </w:rPr>
      </w:pPr>
      <w:r>
        <w:rPr>
          <w:rFonts w:hint="eastAsia" w:ascii="宋体" w:hAnsi="宋体" w:eastAsia="宋体"/>
          <w:sz w:val="21"/>
          <w:szCs w:val="21"/>
        </w:rPr>
        <w:t>［６］</w:t>
      </w:r>
      <w:r>
        <w:rPr>
          <w:rFonts w:hint="eastAsia" w:ascii="宋体" w:hAnsi="宋体" w:eastAsia="宋体"/>
          <w:sz w:val="21"/>
          <w:szCs w:val="21"/>
        </w:rPr>
        <w:tab/>
      </w:r>
      <w:r>
        <w:rPr>
          <w:rFonts w:hint="eastAsia" w:ascii="宋体" w:hAnsi="宋体" w:eastAsia="宋体"/>
          <w:sz w:val="21"/>
          <w:szCs w:val="21"/>
        </w:rPr>
        <w:t xml:space="preserve">郭卫，李大森，唐顺，姬涛.骶骨肿瘤的类型和临床特点. 中国脊柱脊髓杂志2010年第20卷第5期.380-381. </w:t>
      </w:r>
    </w:p>
    <w:p w14:paraId="7F36D7CC">
      <w:pPr>
        <w:rPr>
          <w:rFonts w:hint="eastAsia" w:ascii="宋体" w:hAnsi="宋体" w:eastAsia="宋体"/>
          <w:sz w:val="21"/>
          <w:szCs w:val="21"/>
        </w:rPr>
      </w:pPr>
      <w:r>
        <w:rPr>
          <w:rFonts w:hint="eastAsia" w:ascii="宋体" w:hAnsi="宋体" w:eastAsia="宋体"/>
          <w:sz w:val="21"/>
          <w:szCs w:val="21"/>
        </w:rPr>
        <w:t>［７］</w:t>
      </w:r>
      <w:r>
        <w:rPr>
          <w:rFonts w:hint="eastAsia" w:ascii="宋体" w:hAnsi="宋体" w:eastAsia="宋体"/>
          <w:sz w:val="21"/>
          <w:szCs w:val="21"/>
        </w:rPr>
        <w:tab/>
      </w:r>
      <w:r>
        <w:rPr>
          <w:rFonts w:hint="eastAsia" w:ascii="宋体" w:hAnsi="宋体" w:eastAsia="宋体"/>
          <w:sz w:val="21"/>
          <w:szCs w:val="21"/>
        </w:rPr>
        <w:t xml:space="preserve">胡海，杨惠林，王根椿.骶骨肿瘤手术失血量新统计方法初步探索. 实用骨科杂志第17卷，第4期，2011年4月.319-320. </w:t>
      </w:r>
    </w:p>
    <w:p w14:paraId="7601B0D5">
      <w:pPr>
        <w:rPr>
          <w:rFonts w:hint="eastAsia" w:ascii="宋体" w:hAnsi="宋体" w:eastAsia="宋体"/>
          <w:sz w:val="21"/>
          <w:szCs w:val="21"/>
        </w:rPr>
      </w:pPr>
      <w:r>
        <w:rPr>
          <w:rFonts w:hint="eastAsia" w:ascii="宋体" w:hAnsi="宋体" w:eastAsia="宋体"/>
          <w:sz w:val="21"/>
          <w:szCs w:val="21"/>
        </w:rPr>
        <w:t>［８］</w:t>
      </w:r>
      <w:r>
        <w:rPr>
          <w:rFonts w:hint="eastAsia" w:ascii="宋体" w:hAnsi="宋体" w:eastAsia="宋体"/>
          <w:sz w:val="21"/>
          <w:szCs w:val="21"/>
        </w:rPr>
        <w:tab/>
      </w:r>
      <w:r>
        <w:rPr>
          <w:rFonts w:hint="eastAsia" w:ascii="宋体" w:hAnsi="宋体" w:eastAsia="宋体"/>
          <w:sz w:val="21"/>
          <w:szCs w:val="21"/>
        </w:rPr>
        <w:t>王默然,王峻,李星晨,刘浩,葛艳玲.原发性恶性骨肉瘤术中输血影响因素的回顾性研究. 中国输血杂志２０２２年１月第３５卷第１期.35-38.</w:t>
      </w:r>
    </w:p>
    <w:p w14:paraId="39E9CD32">
      <w:pPr>
        <w:rPr>
          <w:rFonts w:hint="eastAsia" w:ascii="宋体" w:hAnsi="宋体" w:eastAsia="宋体"/>
          <w:sz w:val="21"/>
          <w:szCs w:val="21"/>
        </w:rPr>
      </w:pPr>
      <w:r>
        <w:rPr>
          <w:rFonts w:hint="eastAsia" w:ascii="宋体" w:hAnsi="宋体" w:eastAsia="宋体"/>
          <w:sz w:val="21"/>
          <w:szCs w:val="21"/>
        </w:rPr>
        <w:t>［９］</w:t>
      </w:r>
      <w:r>
        <w:rPr>
          <w:rFonts w:ascii="宋体" w:hAnsi="宋体" w:eastAsia="宋体"/>
          <w:sz w:val="21"/>
          <w:szCs w:val="21"/>
        </w:rPr>
        <w:tab/>
      </w:r>
      <w:r>
        <w:rPr>
          <w:rFonts w:ascii="宋体" w:hAnsi="宋体" w:eastAsia="宋体"/>
          <w:sz w:val="21"/>
          <w:szCs w:val="21"/>
        </w:rPr>
        <w:t>谭刘欣，牛梦林，孙巍．腹膜后肿瘤患者术中输血影响因素及预后分析．中国输血杂志，２０１９，３２（３）：２５７</w:t>
      </w:r>
      <w:r>
        <w:rPr>
          <w:rFonts w:ascii="Segoe UI Symbol" w:hAnsi="Segoe UI Symbol" w:eastAsia="宋体" w:cs="Segoe UI Symbol"/>
          <w:sz w:val="21"/>
          <w:szCs w:val="21"/>
        </w:rPr>
        <w:t>⁃</w:t>
      </w:r>
      <w:r>
        <w:rPr>
          <w:rFonts w:ascii="宋体" w:hAnsi="宋体" w:eastAsia="宋体"/>
          <w:sz w:val="21"/>
          <w:szCs w:val="21"/>
        </w:rPr>
        <w:t>２５９．</w:t>
      </w:r>
    </w:p>
    <w:p w14:paraId="5971CDB4">
      <w:pPr>
        <w:rPr>
          <w:rFonts w:hint="eastAsia" w:ascii="宋体" w:hAnsi="宋体" w:eastAsia="宋体"/>
          <w:sz w:val="21"/>
          <w:szCs w:val="21"/>
        </w:rPr>
      </w:pPr>
      <w:r>
        <w:rPr>
          <w:rFonts w:hint="eastAsia" w:ascii="宋体" w:hAnsi="宋体" w:eastAsia="宋体"/>
          <w:sz w:val="21"/>
          <w:szCs w:val="21"/>
        </w:rPr>
        <w:t>［１０］</w:t>
      </w:r>
      <w:r>
        <w:rPr>
          <w:rFonts w:hint="eastAsia" w:ascii="宋体" w:hAnsi="宋体" w:eastAsia="宋体"/>
          <w:sz w:val="21"/>
          <w:szCs w:val="21"/>
        </w:rPr>
        <w:tab/>
      </w:r>
      <w:r>
        <w:rPr>
          <w:rFonts w:hint="eastAsia" w:ascii="宋体" w:hAnsi="宋体" w:eastAsia="宋体"/>
          <w:sz w:val="21"/>
          <w:szCs w:val="21"/>
        </w:rPr>
        <w:t>Klimo P，Rao G．Schmidt RH．et a1．Nerve sheath tumors  involving the sacrum：ease report and classification sehemo[J1.Neurosurg Focus。2003，15(2)：I-6．</w:t>
      </w:r>
    </w:p>
    <w:p w14:paraId="7DED6AB9">
      <w:pPr>
        <w:rPr>
          <w:rFonts w:hint="eastAsia" w:ascii="宋体" w:hAnsi="宋体" w:eastAsia="宋体"/>
          <w:sz w:val="21"/>
          <w:szCs w:val="21"/>
        </w:rPr>
      </w:pPr>
      <w:r>
        <w:rPr>
          <w:rFonts w:hint="eastAsia" w:ascii="宋体" w:hAnsi="宋体" w:eastAsia="宋体"/>
          <w:sz w:val="21"/>
          <w:szCs w:val="21"/>
        </w:rPr>
        <w:t>［１１］</w:t>
      </w:r>
      <w:r>
        <w:rPr>
          <w:rFonts w:hint="eastAsia" w:ascii="宋体" w:hAnsi="宋体" w:eastAsia="宋体"/>
          <w:sz w:val="21"/>
          <w:szCs w:val="21"/>
        </w:rPr>
        <w:tab/>
      </w:r>
      <w:r>
        <w:rPr>
          <w:rFonts w:hint="eastAsia" w:ascii="宋体" w:hAnsi="宋体" w:eastAsia="宋体"/>
          <w:sz w:val="21"/>
          <w:szCs w:val="21"/>
        </w:rPr>
        <w:t xml:space="preserve">arner MA, Shore-Lesserson L, Shander A, et al. Perioperative anemia: prevention, diagnosis,and management throughout the spectrum of perioperative care [J]. Anesth Analg, 2020, 130(5): 1364-1380. </w:t>
      </w:r>
    </w:p>
    <w:p w14:paraId="18243079">
      <w:pPr>
        <w:rPr>
          <w:rFonts w:hint="eastAsia" w:ascii="宋体" w:hAnsi="宋体" w:eastAsia="宋体"/>
          <w:sz w:val="21"/>
          <w:szCs w:val="21"/>
        </w:rPr>
      </w:pPr>
      <w:r>
        <w:rPr>
          <w:rFonts w:hint="eastAsia" w:ascii="宋体" w:hAnsi="宋体" w:eastAsia="宋体"/>
          <w:sz w:val="21"/>
          <w:szCs w:val="21"/>
        </w:rPr>
        <w:t>［１２］</w:t>
      </w:r>
      <w:r>
        <w:rPr>
          <w:rFonts w:hint="eastAsia" w:ascii="宋体" w:hAnsi="宋体" w:eastAsia="宋体"/>
          <w:sz w:val="21"/>
          <w:szCs w:val="21"/>
        </w:rPr>
        <w:tab/>
      </w:r>
      <w:r>
        <w:rPr>
          <w:rFonts w:hint="eastAsia" w:ascii="宋体" w:hAnsi="宋体" w:eastAsia="宋体"/>
          <w:sz w:val="21"/>
          <w:szCs w:val="21"/>
        </w:rPr>
        <w:t xml:space="preserve">Thiele T, Greinacher A. Platelet Transfusion in Perioperative Medicine [J]. Semin Thromb Hemost, 2020, 46(1): 50-61. </w:t>
      </w:r>
    </w:p>
    <w:p w14:paraId="3F644FC6">
      <w:pPr>
        <w:rPr>
          <w:rFonts w:hint="eastAsia" w:ascii="宋体" w:hAnsi="宋体" w:eastAsia="宋体"/>
          <w:sz w:val="21"/>
          <w:szCs w:val="21"/>
        </w:rPr>
      </w:pPr>
      <w:r>
        <w:rPr>
          <w:rFonts w:hint="eastAsia" w:ascii="宋体" w:hAnsi="宋体" w:eastAsia="宋体"/>
          <w:sz w:val="21"/>
          <w:szCs w:val="21"/>
        </w:rPr>
        <w:t>［１３］</w:t>
      </w:r>
      <w:r>
        <w:rPr>
          <w:rFonts w:hint="eastAsia" w:ascii="宋体" w:hAnsi="宋体" w:eastAsia="宋体"/>
          <w:sz w:val="21"/>
          <w:szCs w:val="21"/>
        </w:rPr>
        <w:tab/>
      </w:r>
      <w:r>
        <w:rPr>
          <w:rFonts w:hint="eastAsia" w:ascii="宋体" w:hAnsi="宋体" w:eastAsia="宋体"/>
          <w:sz w:val="21"/>
          <w:szCs w:val="21"/>
        </w:rPr>
        <w:t xml:space="preserve">Lin JY, Liu ZQ, Hu JC, et al. Factors affecting the adverse reactions to blood transfusion during orthopedic surgery and prediction model development [J]. Chin J Mod Med, 2023, 33(4): 71-77. </w:t>
      </w:r>
    </w:p>
    <w:p w14:paraId="06553327">
      <w:pPr>
        <w:rPr>
          <w:rFonts w:hint="eastAsia" w:ascii="宋体" w:hAnsi="宋体" w:eastAsia="宋体"/>
          <w:sz w:val="21"/>
          <w:szCs w:val="21"/>
        </w:rPr>
      </w:pPr>
      <w:r>
        <w:rPr>
          <w:rFonts w:hint="eastAsia" w:ascii="宋体" w:hAnsi="宋体" w:eastAsia="宋体"/>
          <w:sz w:val="21"/>
          <w:szCs w:val="21"/>
        </w:rPr>
        <w:t>［１４］</w:t>
      </w:r>
      <w:r>
        <w:rPr>
          <w:rFonts w:hint="eastAsia" w:ascii="宋体" w:hAnsi="宋体" w:eastAsia="宋体"/>
          <w:sz w:val="21"/>
          <w:szCs w:val="21"/>
        </w:rPr>
        <w:tab/>
      </w:r>
      <w:r>
        <w:rPr>
          <w:rFonts w:hint="eastAsia" w:ascii="宋体" w:hAnsi="宋体" w:eastAsia="宋体"/>
          <w:sz w:val="21"/>
          <w:szCs w:val="21"/>
        </w:rPr>
        <w:t xml:space="preserve">林娇雅, 刘自强, 胡建超, 等. 骨科手术输血后不良反应的影响因素及预测模型构建与分析[J]. 中国现代医学杂志, 2023, 33(4): 71-77. </w:t>
      </w:r>
    </w:p>
    <w:p w14:paraId="27DE5FD5">
      <w:pPr>
        <w:rPr>
          <w:rFonts w:hint="eastAsia" w:ascii="宋体" w:hAnsi="宋体" w:eastAsia="宋体"/>
          <w:sz w:val="21"/>
          <w:szCs w:val="21"/>
        </w:rPr>
      </w:pPr>
      <w:r>
        <w:rPr>
          <w:rFonts w:hint="eastAsia" w:ascii="宋体" w:hAnsi="宋体" w:eastAsia="宋体"/>
          <w:sz w:val="21"/>
          <w:szCs w:val="21"/>
        </w:rPr>
        <w:t>［１５］</w:t>
      </w:r>
      <w:r>
        <w:rPr>
          <w:rFonts w:hint="eastAsia" w:ascii="宋体" w:hAnsi="宋体" w:eastAsia="宋体"/>
          <w:sz w:val="21"/>
          <w:szCs w:val="21"/>
        </w:rPr>
        <w:tab/>
      </w:r>
      <w:r>
        <w:rPr>
          <w:rFonts w:hint="eastAsia" w:ascii="宋体" w:hAnsi="宋体" w:eastAsia="宋体"/>
          <w:sz w:val="21"/>
          <w:szCs w:val="21"/>
        </w:rPr>
        <w:t>刘英，王峻，葛艳玲，疑难交叉配配血成因与交叉配血策略的分析.中国输血杂志，2020，32（2），152-154.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altName w:val="DengXian"/>
    <w:panose1 w:val="02010600030101010101"/>
    <w:charset w:val="86"/>
    <w:family w:val="auto"/>
    <w:pitch w:val="default"/>
    <w:sig w:usb0="00000000" w:usb1="00000000" w:usb2="00000016" w:usb3="00000000" w:csb0="0004000F" w:csb1="00000000"/>
  </w:font>
  <w:font w:name="等线 Light">
    <w:panose1 w:val="02010600030101010101"/>
    <w:charset w:val="86"/>
    <w:family w:val="auto"/>
    <w:pitch w:val="default"/>
    <w:sig w:usb0="00000000" w:usb1="00000000" w:usb2="00000016" w:usb3="00000000" w:csb0="0004000F" w:csb1="00000000"/>
  </w:font>
  <w:font w:name="Segoe UI Symbol">
    <w:altName w:val="Segoe UI Symbol"/>
    <w:panose1 w:val="020B0502040204020203"/>
    <w:charset w:val="00"/>
    <w:family w:val="swiss"/>
    <w:pitch w:val="default"/>
    <w:sig w:usb0="00000000" w:usb1="00000000"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FC0874"/>
    <w:multiLevelType w:val="multilevel"/>
    <w:tmpl w:val="6EFC0874"/>
    <w:lvl w:ilvl="0" w:tentative="0">
      <w:start w:val="1"/>
      <w:numFmt w:val="decimal"/>
      <w:lvlText w:val="%1"/>
      <w:lvlJc w:val="left"/>
      <w:pPr>
        <w:ind w:left="480" w:hanging="480"/>
      </w:pPr>
      <w:rPr>
        <w:rFonts w:hint="default"/>
      </w:rPr>
    </w:lvl>
    <w:lvl w:ilvl="1" w:tentative="0">
      <w:start w:val="1"/>
      <w:numFmt w:val="decimal"/>
      <w:lvlText w:val="%1.%2"/>
      <w:lvlJc w:val="left"/>
      <w:pPr>
        <w:ind w:left="480" w:hanging="48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none"/>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9"/>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0"/>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1"/>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2"/>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3"/>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4"/>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unhideWhenUsed/>
    <w:uiPriority w:val="1"/>
  </w:style>
  <w:style w:type="table" w:default="1" w:styleId="16">
    <w:name w:val="Normal Table"/>
    <w:unhideWhenUsed/>
    <w:uiPriority w:val="99"/>
    <w:tblPr>
      <w:tblLayout w:type="fixed"/>
      <w:tblCellMar>
        <w:top w:w="0" w:type="dxa"/>
        <w:left w:w="108" w:type="dxa"/>
        <w:bottom w:w="0" w:type="dxa"/>
        <w:right w:w="108" w:type="dxa"/>
      </w:tblCellMar>
    </w:tblPr>
  </w:style>
  <w:style w:type="paragraph" w:styleId="11">
    <w:name w:val="footer"/>
    <w:basedOn w:val="1"/>
    <w:link w:val="37"/>
    <w:unhideWhenUsed/>
    <w:uiPriority w:val="99"/>
    <w:pPr>
      <w:tabs>
        <w:tab w:val="center" w:pos="4153"/>
        <w:tab w:val="right" w:pos="8306"/>
      </w:tabs>
      <w:snapToGrid w:val="0"/>
      <w:spacing w:line="240" w:lineRule="auto"/>
    </w:pPr>
    <w:rPr>
      <w:sz w:val="18"/>
      <w:szCs w:val="18"/>
    </w:rPr>
  </w:style>
  <w:style w:type="paragraph" w:styleId="12">
    <w:name w:val="header"/>
    <w:basedOn w:val="1"/>
    <w:link w:val="36"/>
    <w:unhideWhenUsed/>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8"/>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7">
    <w:name w:val="Table Grid"/>
    <w:basedOn w:val="1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8">
    <w:name w:val="标题 1 字符"/>
    <w:basedOn w:val="15"/>
    <w:link w:val="2"/>
    <w:uiPriority w:val="9"/>
    <w:rPr>
      <w:rFonts w:asciiTheme="majorHAnsi" w:hAnsiTheme="majorHAnsi" w:eastAsiaTheme="majorEastAsia" w:cstheme="majorBidi"/>
      <w:color w:val="2F5597" w:themeColor="accent1" w:themeShade="BF"/>
      <w:sz w:val="48"/>
      <w:szCs w:val="48"/>
    </w:rPr>
  </w:style>
  <w:style w:type="character" w:customStyle="1" w:styleId="19">
    <w:name w:val="标题 2 字符"/>
    <w:basedOn w:val="15"/>
    <w:link w:val="3"/>
    <w:semiHidden/>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5"/>
    <w:link w:val="4"/>
    <w:semiHidden/>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5"/>
    <w:link w:val="5"/>
    <w:semiHidden/>
    <w:uiPriority w:val="9"/>
    <w:rPr>
      <w:rFonts w:cstheme="majorBidi"/>
      <w:color w:val="2F5597" w:themeColor="accent1" w:themeShade="BF"/>
      <w:sz w:val="28"/>
      <w:szCs w:val="28"/>
    </w:rPr>
  </w:style>
  <w:style w:type="character" w:customStyle="1" w:styleId="22">
    <w:name w:val="标题 5 字符"/>
    <w:basedOn w:val="15"/>
    <w:link w:val="6"/>
    <w:semiHidden/>
    <w:uiPriority w:val="9"/>
    <w:rPr>
      <w:rFonts w:cstheme="majorBidi"/>
      <w:color w:val="2F5597" w:themeColor="accent1" w:themeShade="BF"/>
      <w:sz w:val="24"/>
    </w:rPr>
  </w:style>
  <w:style w:type="character" w:customStyle="1" w:styleId="23">
    <w:name w:val="标题 6 字符"/>
    <w:basedOn w:val="15"/>
    <w:link w:val="7"/>
    <w:semiHidden/>
    <w:uiPriority w:val="9"/>
    <w:rPr>
      <w:rFonts w:cstheme="majorBidi"/>
      <w:b/>
      <w:bCs/>
      <w:color w:val="2F5597" w:themeColor="accent1" w:themeShade="BF"/>
    </w:rPr>
  </w:style>
  <w:style w:type="character" w:customStyle="1" w:styleId="24">
    <w:name w:val="标题 7 字符"/>
    <w:basedOn w:val="15"/>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5"/>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5"/>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5"/>
    <w:link w:val="14"/>
    <w:uiPriority w:val="10"/>
    <w:rPr>
      <w:rFonts w:asciiTheme="majorHAnsi" w:hAnsiTheme="majorHAnsi" w:eastAsiaTheme="majorEastAsia" w:cstheme="majorBidi"/>
      <w:spacing w:val="-10"/>
      <w:kern w:val="28"/>
      <w:sz w:val="56"/>
      <w:szCs w:val="56"/>
    </w:rPr>
  </w:style>
  <w:style w:type="character" w:customStyle="1" w:styleId="28">
    <w:name w:val="副标题 字符"/>
    <w:basedOn w:val="15"/>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customStyle="1"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5"/>
    <w:link w:val="29"/>
    <w:uiPriority w:val="29"/>
    <w:rPr>
      <w:i/>
      <w:iCs/>
      <w:color w:val="404040" w:themeColor="text1" w:themeTint="BF"/>
      <w14:textFill>
        <w14:solidFill>
          <w14:schemeClr w14:val="tx1">
            <w14:lumMod w14:val="75000"/>
            <w14:lumOff w14:val="25000"/>
          </w14:schemeClr>
        </w14:solidFill>
      </w14:textFill>
    </w:rPr>
  </w:style>
  <w:style w:type="paragraph" w:customStyle="1" w:styleId="31">
    <w:name w:val="List Paragraph"/>
    <w:basedOn w:val="1"/>
    <w:qFormat/>
    <w:uiPriority w:val="34"/>
    <w:pPr>
      <w:ind w:left="720"/>
      <w:contextualSpacing/>
    </w:pPr>
  </w:style>
  <w:style w:type="character" w:customStyle="1" w:styleId="32">
    <w:name w:val="Intense Emphasis"/>
    <w:basedOn w:val="15"/>
    <w:qFormat/>
    <w:uiPriority w:val="21"/>
    <w:rPr>
      <w:i/>
      <w:iCs/>
      <w:color w:val="2F5597" w:themeColor="accent1" w:themeShade="BF"/>
    </w:rPr>
  </w:style>
  <w:style w:type="paragraph" w:customStyle="1"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明显引用 字符"/>
    <w:basedOn w:val="15"/>
    <w:link w:val="33"/>
    <w:uiPriority w:val="30"/>
    <w:rPr>
      <w:i/>
      <w:iCs/>
      <w:color w:val="2F5597" w:themeColor="accent1" w:themeShade="BF"/>
    </w:rPr>
  </w:style>
  <w:style w:type="character" w:customStyle="1" w:styleId="35">
    <w:name w:val="Intense Reference"/>
    <w:basedOn w:val="15"/>
    <w:qFormat/>
    <w:uiPriority w:val="32"/>
    <w:rPr>
      <w:b/>
      <w:bCs/>
      <w:smallCaps/>
      <w:color w:val="2F5597" w:themeColor="accent1" w:themeShade="BF"/>
      <w:spacing w:val="5"/>
    </w:rPr>
  </w:style>
  <w:style w:type="character" w:customStyle="1" w:styleId="36">
    <w:name w:val="页眉 字符"/>
    <w:basedOn w:val="15"/>
    <w:link w:val="12"/>
    <w:uiPriority w:val="99"/>
    <w:rPr>
      <w:sz w:val="18"/>
      <w:szCs w:val="18"/>
    </w:rPr>
  </w:style>
  <w:style w:type="character" w:customStyle="1" w:styleId="37">
    <w:name w:val="页脚 字符"/>
    <w:basedOn w:val="15"/>
    <w:link w:val="11"/>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1336</Words>
  <Characters>7618</Characters>
  <Lines>63</Lines>
  <Paragraphs>17</Paragraphs>
  <TotalTime>0</TotalTime>
  <ScaleCrop>false</ScaleCrop>
  <LinksUpToDate>false</LinksUpToDate>
  <CharactersWithSpaces>8937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2025-02-22T15:09:00Z</dcterms:created>
  <dc:creator>桂玉 吴</dc:creator>
  <cp:lastModifiedBy>iPad</cp:lastModifiedBy>
  <dcterms:modified xsi:type="dcterms:W3CDTF">2025-04-22T17:58:44Z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55CAC8A5DBF3F046FA650768C6BF5BB0_31</vt:lpwstr>
  </property>
  <property fmtid="{D5CDD505-2E9C-101B-9397-08002B2CF9AE}" pid="3" name="KSOProductBuildVer">
    <vt:lpwstr>2052-12.22.1</vt:lpwstr>
  </property>
</Properties>
</file>