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68E0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right"/>
        <w:textAlignment w:val="auto"/>
        <w:rPr>
          <w:rFonts w:hint="default" w:ascii="Times New Roman" w:hAnsi="Times New Roman" w:eastAsia="宋体" w:cs="Times New Roman"/>
          <w:b/>
          <w:bCs w:val="0"/>
          <w:color w:val="auto"/>
          <w:sz w:val="44"/>
          <w:szCs w:val="44"/>
          <w:highlight w:val="none"/>
          <w:shd w:val="clear" w:color="auto" w:fill="auto"/>
          <w:lang w:val="en-US" w:eastAsia="zh-CN"/>
        </w:rPr>
      </w:pPr>
      <w:bookmarkStart w:name="_GoBack" w:id="160"/>
      <w:bookmarkEnd w:id="160"/>
      <w:r>
        <w:rPr>
          <w:rFonts w:hint="eastAsia" w:ascii="Times New Roman" w:hAnsi="Times New Roman" w:eastAsia="宋体" w:cs="Times New Roman"/>
          <w:b/>
          <w:bCs w:val="0"/>
          <w:color w:val="auto"/>
          <w:sz w:val="44"/>
          <w:szCs w:val="44"/>
          <w:highlight w:val="none"/>
          <w:shd w:val="clear" w:color="auto" w:fill="auto"/>
          <w:lang w:val="en-US" w:eastAsia="zh-CN"/>
        </w:rPr>
        <w:t>·临床研究·</w:t>
      </w:r>
    </w:p>
    <w:p w14:paraId="094E8D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bCs w:val="0"/>
          <w:color w:val="auto"/>
          <w:sz w:val="44"/>
          <w:szCs w:val="44"/>
          <w:highlight w:val="none"/>
          <w:shd w:val="clear" w:color="auto" w:fill="auto"/>
          <w:lang w:val="en-US" w:eastAsia="zh-CN"/>
        </w:rPr>
      </w:pPr>
      <w:r>
        <w:rPr>
          <w:rFonts w:hint="default" w:ascii="Times New Roman" w:hAnsi="Times New Roman" w:eastAsia="宋体" w:cs="Times New Roman"/>
          <w:b/>
          <w:bCs w:val="0"/>
          <w:color w:val="auto"/>
          <w:sz w:val="44"/>
          <w:szCs w:val="44"/>
          <w:highlight w:val="none"/>
          <w:shd w:val="clear" w:color="auto" w:fill="auto"/>
          <w:lang w:val="en-US"/>
        </w:rPr>
        <w:t>功能性电刺激联合不对称性等速肌力训练</w:t>
      </w:r>
      <w:r>
        <w:rPr>
          <w:rFonts w:hint="eastAsia" w:ascii="Times New Roman" w:hAnsi="Times New Roman" w:eastAsia="宋体" w:cs="Times New Roman"/>
          <w:b/>
          <w:bCs w:val="0"/>
          <w:color w:val="auto"/>
          <w:sz w:val="44"/>
          <w:szCs w:val="44"/>
          <w:highlight w:val="none"/>
          <w:shd w:val="clear" w:color="auto" w:fill="auto"/>
          <w:lang w:val="en-US" w:eastAsia="zh-CN"/>
        </w:rPr>
        <w:t>用于</w:t>
      </w:r>
      <w:r>
        <w:rPr>
          <w:rFonts w:hint="default" w:ascii="Times New Roman" w:hAnsi="Times New Roman" w:eastAsia="宋体" w:cs="Times New Roman"/>
          <w:b/>
          <w:bCs w:val="0"/>
          <w:color w:val="auto"/>
          <w:sz w:val="44"/>
          <w:szCs w:val="44"/>
          <w:highlight w:val="none"/>
          <w:shd w:val="clear" w:color="auto" w:fill="auto"/>
          <w:lang w:val="en-US"/>
        </w:rPr>
        <w:t>脑卒中后偏瘫的</w:t>
      </w:r>
      <w:r>
        <w:rPr>
          <w:rFonts w:hint="eastAsia" w:ascii="Times New Roman" w:hAnsi="Times New Roman" w:eastAsia="宋体" w:cs="Times New Roman"/>
          <w:b/>
          <w:bCs w:val="0"/>
          <w:color w:val="auto"/>
          <w:sz w:val="44"/>
          <w:szCs w:val="44"/>
          <w:highlight w:val="none"/>
          <w:shd w:val="clear" w:color="auto" w:fill="auto"/>
          <w:lang w:val="en-US" w:eastAsia="zh-CN"/>
        </w:rPr>
        <w:t>临床疗效</w:t>
      </w:r>
      <w:bookmarkEnd w:id="0"/>
    </w:p>
    <w:p w14:paraId="50831552">
      <w:pPr>
        <w:keepNext w:val="0"/>
        <w:keepLines w:val="0"/>
        <w:pageBreakBefore w:val="0"/>
        <w:wordWrap/>
        <w:overflowPunct/>
        <w:topLinePunct w:val="0"/>
        <w:bidi w:val="0"/>
        <w:spacing w:line="360" w:lineRule="auto"/>
        <w:jc w:val="both"/>
        <w:rPr>
          <w:rFonts w:hint="default" w:ascii="Times New Roman" w:hAnsi="Times New Roman" w:eastAsia="宋体" w:cs="Times New Roman"/>
          <w:b w:val="0"/>
          <w:bCs w:val="0"/>
          <w:color w:val="auto"/>
          <w:sz w:val="21"/>
          <w:szCs w:val="42"/>
          <w:highlight w:val="none"/>
          <w:shd w:val="clear" w:color="auto" w:fill="auto"/>
          <w:lang w:val="en-US" w:eastAsia="zh-CN"/>
        </w:rPr>
      </w:pPr>
      <w:r>
        <w:rPr>
          <w:rFonts w:hint="default" w:ascii="Times New Roman" w:hAnsi="Times New Roman" w:eastAsia="宋体" w:cs="Times New Roman"/>
          <w:b w:val="0"/>
          <w:bCs w:val="0"/>
          <w:color w:val="auto"/>
          <w:sz w:val="21"/>
          <w:szCs w:val="24"/>
          <w:highlight w:val="none"/>
          <w:shd w:val="clear" w:color="auto" w:fill="auto"/>
          <w:lang w:eastAsia="zh-CN"/>
        </w:rPr>
        <w:t>王雪</w:t>
      </w:r>
      <w:r>
        <w:rPr>
          <w:rFonts w:hint="eastAsia" w:ascii="Times New Roman" w:hAnsi="Times New Roman" w:eastAsia="宋体" w:cs="Times New Roman"/>
          <w:b w:val="0"/>
          <w:bCs w:val="0"/>
          <w:color w:val="auto"/>
          <w:sz w:val="21"/>
          <w:szCs w:val="24"/>
          <w:highlight w:val="none"/>
          <w:shd w:val="clear" w:color="auto" w:fill="auto"/>
          <w:lang w:val="en-US" w:eastAsia="zh-CN"/>
        </w:rPr>
        <w:t xml:space="preserve">   </w:t>
      </w:r>
      <w:r>
        <w:rPr>
          <w:rFonts w:hint="default" w:ascii="Times New Roman" w:hAnsi="Times New Roman" w:eastAsia="宋体" w:cs="Times New Roman"/>
          <w:b w:val="0"/>
          <w:bCs w:val="0"/>
          <w:color w:val="auto"/>
          <w:sz w:val="21"/>
          <w:szCs w:val="24"/>
          <w:highlight w:val="none"/>
          <w:shd w:val="clear" w:color="auto" w:fill="auto"/>
          <w:lang w:eastAsia="zh-CN"/>
        </w:rPr>
        <w:t>白森</w:t>
      </w:r>
      <w:r>
        <w:rPr>
          <w:rFonts w:hint="eastAsia" w:ascii="Times New Roman" w:hAnsi="Times New Roman" w:eastAsia="宋体" w:cs="Times New Roman"/>
          <w:b w:val="0"/>
          <w:bCs w:val="0"/>
          <w:color w:val="auto"/>
          <w:sz w:val="21"/>
          <w:szCs w:val="24"/>
          <w:highlight w:val="none"/>
          <w:shd w:val="clear" w:color="auto" w:fill="auto"/>
          <w:lang w:val="en-US" w:eastAsia="zh-CN"/>
        </w:rPr>
        <w:t xml:space="preserve">   </w:t>
      </w:r>
      <w:r>
        <w:rPr>
          <w:rFonts w:hint="default" w:ascii="Times New Roman" w:hAnsi="Times New Roman" w:eastAsia="宋体" w:cs="Times New Roman"/>
          <w:b w:val="0"/>
          <w:bCs w:val="0"/>
          <w:color w:val="auto"/>
          <w:sz w:val="21"/>
          <w:szCs w:val="24"/>
          <w:highlight w:val="none"/>
          <w:shd w:val="clear" w:color="auto" w:fill="auto"/>
          <w:lang w:eastAsia="zh-CN"/>
        </w:rPr>
        <w:t>高帅</w:t>
      </w:r>
      <w:r>
        <w:rPr>
          <w:rFonts w:hint="eastAsia" w:ascii="Times New Roman" w:hAnsi="Times New Roman" w:eastAsia="宋体" w:cs="Times New Roman"/>
          <w:b w:val="0"/>
          <w:bCs w:val="0"/>
          <w:color w:val="auto"/>
          <w:sz w:val="21"/>
          <w:szCs w:val="24"/>
          <w:highlight w:val="none"/>
          <w:shd w:val="clear" w:color="auto" w:fill="auto"/>
          <w:lang w:val="en-US" w:eastAsia="zh-CN"/>
        </w:rPr>
        <w:t xml:space="preserve">   </w:t>
      </w:r>
      <w:r>
        <w:rPr>
          <w:rFonts w:hint="default" w:ascii="Times New Roman" w:hAnsi="Times New Roman" w:eastAsia="宋体" w:cs="Times New Roman"/>
          <w:b w:val="0"/>
          <w:bCs w:val="0"/>
          <w:color w:val="auto"/>
          <w:sz w:val="21"/>
          <w:szCs w:val="24"/>
          <w:highlight w:val="none"/>
          <w:shd w:val="clear" w:color="auto" w:fill="auto"/>
        </w:rPr>
        <w:t>张晓颖</w:t>
      </w:r>
      <w:r>
        <w:rPr>
          <w:rFonts w:hint="eastAsia" w:ascii="Times New Roman" w:hAnsi="Times New Roman" w:eastAsia="宋体" w:cs="Times New Roman"/>
          <w:b w:val="0"/>
          <w:bCs w:val="0"/>
          <w:color w:val="auto"/>
          <w:sz w:val="21"/>
          <w:szCs w:val="24"/>
          <w:highlight w:val="none"/>
          <w:shd w:val="clear" w:color="auto" w:fill="auto"/>
          <w:lang w:val="en-US" w:eastAsia="zh-CN"/>
        </w:rPr>
        <w:t xml:space="preserve">  王丛笑</w:t>
      </w:r>
      <w:bookmarkEnd w:id="1"/>
    </w:p>
    <w:p w14:paraId="71DE91D6">
      <w:pPr>
        <w:keepNext w:val="0"/>
        <w:keepLines w:val="0"/>
        <w:pageBreakBefore w:val="0"/>
        <w:wordWrap/>
        <w:overflowPunct/>
        <w:topLinePunct w:val="0"/>
        <w:bidi w:val="0"/>
        <w:spacing w:line="360" w:lineRule="auto"/>
        <w:jc w:val="both"/>
        <w:rPr>
          <w:rFonts w:hint="default" w:ascii="Times New Roman" w:hAnsi="Times New Roman" w:eastAsia="宋体" w:cs="Times New Roman"/>
          <w:b w:val="0"/>
          <w:bCs w:val="0"/>
          <w:color w:val="auto"/>
          <w:sz w:val="21"/>
          <w:szCs w:val="42"/>
          <w:highlight w:val="none"/>
          <w:shd w:val="clear" w:color="auto" w:fill="auto"/>
          <w:lang w:val="en-US" w:eastAsia="zh-CN"/>
        </w:rPr>
      </w:pPr>
      <w:r>
        <w:rPr>
          <w:rFonts w:hint="default" w:ascii="Times New Roman" w:hAnsi="Times New Roman" w:eastAsia="宋体" w:cs="Times New Roman"/>
          <w:b w:val="0"/>
          <w:bCs w:val="0"/>
          <w:color w:val="auto"/>
          <w:sz w:val="21"/>
          <w:szCs w:val="42"/>
          <w:highlight w:val="none"/>
          <w:shd w:val="clear" w:color="auto" w:fill="auto"/>
          <w:lang w:val="en-US" w:eastAsia="zh-CN"/>
        </w:rPr>
        <w:t>DOI</w:t>
      </w:r>
      <w:r>
        <w:rPr>
          <w:rFonts w:hint="default" w:ascii="Times New Roman" w:hAnsi="Times New Roman" w:eastAsia="宋体" w:cs="Times New Roman"/>
          <w:b w:val="0"/>
          <w:bCs w:val="0"/>
          <w:color w:val="auto"/>
          <w:sz w:val="21"/>
          <w:szCs w:val="42"/>
          <w:highlight w:val="none"/>
          <w:shd w:val="clear" w:color="auto" w:fill="auto"/>
          <w:lang w:val="en-US" w:eastAsia="zh-CN"/>
        </w:rPr>
        <w:t>：</w:t>
      </w:r>
      <w:bookmarkEnd w:id="2"/>
      <w:r>
        <w:rPr>
          <w:rFonts w:hint="default" w:ascii="Times New Roman" w:hAnsi="Times New Roman" w:eastAsia="宋体" w:cs="Times New Roman"/>
          <w:b w:val="0"/>
          <w:bCs w:val="0"/>
          <w:color w:val="auto"/>
          <w:sz w:val="21"/>
          <w:szCs w:val="42"/>
          <w:highlight w:val="none"/>
          <w:shd w:val="clear" w:color="auto" w:fill="auto"/>
          <w:lang w:val="en-US" w:eastAsia="zh-CN"/>
        </w:rPr>
        <w:t>10.</w:t>
      </w:r>
      <w:r>
        <w:rPr>
          <w:rFonts w:hint="eastAsia" w:ascii="Times New Roman" w:hAnsi="Times New Roman" w:eastAsia="宋体" w:cs="Times New Roman"/>
          <w:b w:val="0"/>
          <w:bCs w:val="0"/>
          <w:color w:val="auto"/>
          <w:sz w:val="21"/>
          <w:szCs w:val="42"/>
          <w:highlight w:val="none"/>
          <w:shd w:val="clear" w:color="auto" w:fill="auto"/>
          <w:lang w:val="en-US" w:eastAsia="zh-CN"/>
        </w:rPr>
        <w:t>3877</w:t>
      </w:r>
      <w:r>
        <w:rPr>
          <w:rFonts w:hint="default" w:ascii="Times New Roman" w:hAnsi="Times New Roman" w:eastAsia="宋体" w:cs="Times New Roman"/>
          <w:b w:val="0"/>
          <w:bCs w:val="0"/>
          <w:color w:val="auto"/>
          <w:sz w:val="21"/>
          <w:szCs w:val="42"/>
          <w:highlight w:val="none"/>
          <w:shd w:val="clear" w:color="auto" w:fill="auto"/>
          <w:lang w:val="en-US" w:eastAsia="zh-CN"/>
        </w:rPr>
        <w:t>/</w:t>
      </w:r>
      <w:r>
        <w:rPr>
          <w:rFonts w:hint="eastAsia" w:ascii="Times New Roman" w:hAnsi="Times New Roman" w:eastAsia="宋体" w:cs="Times New Roman"/>
          <w:b w:val="0"/>
          <w:bCs w:val="0"/>
          <w:color w:val="auto"/>
          <w:sz w:val="21"/>
          <w:szCs w:val="42"/>
          <w:highlight w:val="none"/>
          <w:shd w:val="clear" w:color="auto" w:fill="auto"/>
          <w:lang w:val="en-US" w:eastAsia="zh-CN"/>
        </w:rPr>
        <w:t>cma.</w:t>
      </w:r>
      <w:r>
        <w:rPr>
          <w:rFonts w:hint="default" w:ascii="Times New Roman" w:hAnsi="Times New Roman" w:eastAsia="宋体" w:cs="Times New Roman"/>
          <w:b w:val="0"/>
          <w:bCs w:val="0"/>
          <w:color w:val="auto"/>
          <w:sz w:val="21"/>
          <w:szCs w:val="42"/>
          <w:highlight w:val="none"/>
          <w:shd w:val="clear" w:color="auto" w:fill="auto"/>
          <w:lang w:val="en-US" w:eastAsia="zh-CN"/>
        </w:rPr>
        <w:t>j.issn.1673-9248.</w:t>
      </w:r>
      <w:r>
        <w:rPr>
          <w:rFonts w:hint="eastAsia" w:ascii="Times New Roman" w:hAnsi="Times New Roman" w:eastAsia="宋体" w:cs="Times New Roman"/>
          <w:b w:val="0"/>
          <w:bCs w:val="0"/>
          <w:color w:val="auto"/>
          <w:sz w:val="21"/>
          <w:szCs w:val="42"/>
          <w:highlight w:val="none"/>
          <w:shd w:val="clear" w:color="auto" w:fill="auto"/>
          <w:lang w:val="en-US" w:eastAsia="zh-CN"/>
        </w:rPr>
        <w:t>2026</w:t>
      </w:r>
      <w:r>
        <w:rPr>
          <w:rFonts w:hint="default" w:ascii="Times New Roman" w:hAnsi="Times New Roman" w:eastAsia="宋体" w:cs="Times New Roman"/>
          <w:b w:val="0"/>
          <w:bCs w:val="0"/>
          <w:color w:val="auto"/>
          <w:sz w:val="21"/>
          <w:szCs w:val="42"/>
          <w:highlight w:val="none"/>
          <w:shd w:val="clear" w:color="auto" w:fill="auto"/>
          <w:lang w:val="en-US" w:eastAsia="zh-CN"/>
        </w:rPr>
        <w:t>.XX.XXX</w:t>
      </w:r>
    </w:p>
    <w:p w14:paraId="50E8352B">
      <w:pPr>
        <w:keepNext w:val="0"/>
        <w:keepLines w:val="0"/>
        <w:pageBreakBefore w:val="0"/>
        <w:wordWrap/>
        <w:overflowPunct/>
        <w:topLinePunct w:val="0"/>
        <w:bidi w:val="0"/>
        <w:spacing w:line="360" w:lineRule="auto"/>
        <w:jc w:val="both"/>
        <w:rPr>
          <w:rFonts w:hint="default" w:ascii="Times New Roman" w:hAnsi="Times New Roman" w:eastAsia="宋体" w:cs="Times New Roman"/>
          <w:b w:val="0"/>
          <w:bCs w:val="0"/>
          <w:color w:val="auto"/>
          <w:sz w:val="21"/>
          <w:szCs w:val="42"/>
          <w:highlight w:val="none"/>
          <w:shd w:val="clear" w:color="auto" w:fill="auto"/>
          <w:lang w:val="en-US" w:eastAsia="zh-CN"/>
        </w:rPr>
      </w:pPr>
      <w:r>
        <w:rPr>
          <w:rFonts w:hint="default" w:ascii="Times New Roman" w:hAnsi="Times New Roman" w:eastAsia="宋体" w:cs="Times New Roman"/>
          <w:b w:val="0"/>
          <w:bCs w:val="0"/>
          <w:color w:val="auto"/>
          <w:sz w:val="21"/>
          <w:szCs w:val="42"/>
          <w:highlight w:val="none"/>
          <w:shd w:val="clear" w:color="auto" w:fill="auto"/>
          <w:lang w:val="en-US" w:eastAsia="zh-CN"/>
        </w:rPr>
        <w:t>基金项目：</w:t>
      </w:r>
      <w:r>
        <w:rPr>
          <w:rFonts w:hint="default" w:ascii="Times New Roman" w:hAnsi="Times New Roman" w:eastAsia="宋体" w:cs="Times New Roman"/>
          <w:b w:val="0"/>
          <w:bCs w:val="0"/>
          <w:color w:val="auto"/>
          <w:sz w:val="21"/>
          <w:szCs w:val="21"/>
          <w:highlight w:val="none"/>
          <w:shd w:val="clear" w:color="auto" w:fill="auto"/>
        </w:rPr>
        <w:t>北京市科技计划课题</w:t>
      </w:r>
      <w:r>
        <w:rPr>
          <w:rFonts w:hint="eastAsia" w:ascii="Times New Roman" w:hAnsi="Times New Roman" w:eastAsia="宋体" w:cs="Times New Roman"/>
          <w:b w:val="0"/>
          <w:bCs w:val="0"/>
          <w:color w:val="auto"/>
          <w:sz w:val="21"/>
          <w:szCs w:val="21"/>
          <w:highlight w:val="none"/>
          <w:shd w:val="clear" w:color="auto" w:fill="auto"/>
          <w:lang w:val="en-US" w:eastAsia="zh-CN"/>
        </w:rPr>
        <w:t>基金（</w:t>
      </w:r>
      <w:r>
        <w:rPr>
          <w:rFonts w:hint="default" w:ascii="Times New Roman" w:hAnsi="Times New Roman" w:eastAsia="宋体" w:cs="Times New Roman"/>
          <w:b w:val="0"/>
          <w:bCs w:val="0"/>
          <w:color w:val="auto"/>
          <w:sz w:val="21"/>
          <w:szCs w:val="21"/>
          <w:highlight w:val="none"/>
          <w:shd w:val="clear" w:color="auto" w:fill="auto"/>
          <w:lang w:val="en-US" w:eastAsia="zh-CN"/>
        </w:rPr>
        <w:t>Z221100007422113</w:t>
      </w:r>
      <w:r>
        <w:rPr>
          <w:rFonts w:hint="eastAsia" w:ascii="Times New Roman" w:hAnsi="Times New Roman" w:eastAsia="宋体" w:cs="Times New Roman"/>
          <w:b w:val="0"/>
          <w:bCs w:val="0"/>
          <w:color w:val="auto"/>
          <w:sz w:val="21"/>
          <w:szCs w:val="21"/>
          <w:highlight w:val="none"/>
          <w:shd w:val="clear" w:color="auto" w:fill="auto"/>
          <w:lang w:val="en-US" w:eastAsia="zh-CN"/>
        </w:rPr>
        <w:t>）</w:t>
      </w:r>
      <w:bookmarkEnd w:id="3"/>
    </w:p>
    <w:p w14:paraId="1D1CFCB8">
      <w:pPr>
        <w:keepNext w:val="0"/>
        <w:keepLines w:val="0"/>
        <w:pageBreakBefore w:val="0"/>
        <w:wordWrap/>
        <w:overflowPunct/>
        <w:topLinePunct w:val="0"/>
        <w:bidi w:val="0"/>
        <w:spacing w:line="360" w:lineRule="auto"/>
        <w:jc w:val="both"/>
        <w:rPr>
          <w:rFonts w:hint="default" w:ascii="Times New Roman" w:hAnsi="Times New Roman" w:eastAsia="宋体" w:cs="Times New Roman"/>
          <w:b w:val="0"/>
          <w:bCs w:val="0"/>
          <w:color w:val="auto"/>
          <w:sz w:val="21"/>
          <w:szCs w:val="42"/>
          <w:highlight w:val="none"/>
          <w:shd w:val="clear" w:color="auto" w:fill="auto"/>
          <w:lang w:val="en-US" w:eastAsia="zh-CN"/>
        </w:rPr>
      </w:pPr>
      <w:r>
        <w:rPr>
          <w:rFonts w:hint="default" w:ascii="Times New Roman" w:hAnsi="Times New Roman" w:eastAsia="宋体" w:cs="Times New Roman"/>
          <w:b w:val="0"/>
          <w:bCs w:val="0"/>
          <w:color w:val="auto"/>
          <w:sz w:val="21"/>
          <w:szCs w:val="42"/>
          <w:highlight w:val="none"/>
          <w:shd w:val="clear" w:color="auto" w:fill="auto"/>
          <w:lang w:val="en-US" w:eastAsia="zh-CN"/>
        </w:rPr>
        <w:t>作者单位：</w:t>
      </w:r>
      <w:r>
        <w:rPr>
          <w:rFonts w:hint="default" w:ascii="Times New Roman" w:hAnsi="Times New Roman" w:eastAsia="宋体" w:cs="Times New Roman"/>
          <w:color w:val="auto"/>
          <w:sz w:val="21"/>
          <w:szCs w:val="24"/>
          <w:highlight w:val="none"/>
          <w:shd w:val="clear" w:color="auto" w:fill="auto"/>
          <w:lang w:val="en-US" w:eastAsia="zh-CN"/>
        </w:rPr>
        <w:t>100144</w:t>
      </w:r>
      <w:r>
        <w:rPr>
          <w:rFonts w:hint="eastAsia" w:ascii="Times New Roman" w:hAnsi="Times New Roman" w:eastAsia="宋体" w:cs="Times New Roman"/>
          <w:color w:val="auto"/>
          <w:sz w:val="21"/>
          <w:szCs w:val="24"/>
          <w:highlight w:val="none"/>
          <w:shd w:val="clear" w:color="auto" w:fill="auto"/>
          <w:lang w:val="en-US" w:eastAsia="zh-CN"/>
        </w:rPr>
        <w:t xml:space="preserve">  </w:t>
      </w:r>
      <w:r>
        <w:rPr>
          <w:rFonts w:hint="default" w:ascii="Times New Roman" w:hAnsi="Times New Roman" w:eastAsia="宋体" w:cs="Times New Roman"/>
          <w:color w:val="auto"/>
          <w:sz w:val="21"/>
          <w:szCs w:val="24"/>
          <w:highlight w:val="none"/>
          <w:shd w:val="clear" w:color="auto" w:fill="auto"/>
          <w:lang w:val="en-US" w:eastAsia="zh-CN"/>
        </w:rPr>
        <w:t>北京</w:t>
      </w:r>
      <w:r>
        <w:rPr>
          <w:rFonts w:hint="eastAsia" w:ascii="Times New Roman" w:hAnsi="Times New Roman" w:eastAsia="宋体" w:cs="Times New Roman"/>
          <w:color w:val="auto"/>
          <w:sz w:val="21"/>
          <w:szCs w:val="24"/>
          <w:highlight w:val="none"/>
          <w:shd w:val="clear" w:color="auto" w:fill="auto"/>
          <w:lang w:val="en-US" w:eastAsia="zh-CN"/>
        </w:rPr>
        <w:t>，</w:t>
      </w:r>
      <w:r>
        <w:rPr>
          <w:rFonts w:hint="default" w:ascii="Times New Roman" w:hAnsi="Times New Roman" w:eastAsia="宋体" w:cs="Times New Roman"/>
          <w:color w:val="auto"/>
          <w:sz w:val="21"/>
          <w:szCs w:val="24"/>
          <w:highlight w:val="none"/>
          <w:shd w:val="clear" w:color="auto" w:fill="auto"/>
          <w:lang w:eastAsia="zh-CN"/>
        </w:rPr>
        <w:t>首都医科大学附属北京康复医院康复诊疗中心</w:t>
      </w:r>
      <w:bookmarkEnd w:id="4"/>
    </w:p>
    <w:p w14:paraId="720B068D">
      <w:pPr>
        <w:keepNext w:val="0"/>
        <w:keepLines w:val="0"/>
        <w:pageBreakBefore w:val="0"/>
        <w:wordWrap/>
        <w:overflowPunct/>
        <w:topLinePunct w:val="0"/>
        <w:bidi w:val="0"/>
        <w:spacing w:line="360" w:lineRule="auto"/>
        <w:rPr>
          <w:rFonts w:hint="default" w:ascii="Times New Roman" w:hAnsi="Times New Roman" w:eastAsia="宋体" w:cs="Times New Roman"/>
          <w:b w:val="0"/>
          <w:bCs w:val="0"/>
          <w:color w:val="auto"/>
          <w:sz w:val="21"/>
          <w:szCs w:val="42"/>
          <w:highlight w:val="none"/>
          <w:shd w:val="clear" w:color="auto" w:fill="auto"/>
          <w:lang w:val="en-US" w:eastAsia="zh-CN"/>
        </w:rPr>
      </w:pPr>
      <w:r>
        <w:rPr>
          <w:rFonts w:hint="default" w:ascii="Times New Roman" w:hAnsi="Times New Roman" w:eastAsia="宋体" w:cs="Times New Roman"/>
          <w:b w:val="0"/>
          <w:bCs w:val="0"/>
          <w:color w:val="auto"/>
          <w:sz w:val="21"/>
          <w:szCs w:val="42"/>
          <w:highlight w:val="none"/>
          <w:shd w:val="clear" w:color="auto" w:fill="auto"/>
          <w:lang w:val="en-US" w:eastAsia="zh-CN"/>
        </w:rPr>
        <w:t>通信作者：王丛笑，Email</w:t>
      </w:r>
      <w:r>
        <w:rPr>
          <w:rFonts w:hint="default" w:ascii="Times New Roman" w:hAnsi="Times New Roman" w:eastAsia="宋体" w:cs="Times New Roman"/>
          <w:b w:val="0"/>
          <w:bCs w:val="0"/>
          <w:color w:val="auto"/>
          <w:sz w:val="21"/>
          <w:szCs w:val="42"/>
          <w:highlight w:val="none"/>
          <w:shd w:val="clear" w:color="auto" w:fill="auto"/>
          <w:lang w:val="en-US" w:eastAsia="zh-CN"/>
        </w:rPr>
        <w:t>：</w:t>
      </w:r>
      <w:bookmarkEnd w:id="5"/>
      <w:r>
        <w:rPr>
          <w:rFonts w:hint="default" w:ascii="Times New Roman" w:hAnsi="Times New Roman" w:eastAsia="宋体" w:cs="Times New Roman"/>
          <w:b w:val="0"/>
          <w:bCs w:val="0"/>
          <w:color w:val="auto"/>
          <w:sz w:val="21"/>
          <w:szCs w:val="42"/>
          <w:highlight w:val="none"/>
          <w:shd w:val="clear" w:color="auto" w:fill="auto"/>
          <w:lang w:val="en-US" w:eastAsia="zh-CN"/>
        </w:rPr>
        <w:t>wangcongxiao66@163.com</w:t>
      </w:r>
    </w:p>
    <w:p w14:paraId="5A654B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Times New Roman" w:hAnsi="Times New Roman" w:eastAsia="宋体" w:cs="Times New Roman"/>
          <w:b/>
          <w:bCs/>
          <w:color w:val="auto"/>
          <w:sz w:val="21"/>
          <w:szCs w:val="24"/>
          <w:highlight w:val="none"/>
          <w:shd w:val="clear" w:color="auto" w:fill="auto"/>
          <w:lang w:eastAsia="zh-CN"/>
        </w:rPr>
      </w:pPr>
    </w:p>
    <w:p w14:paraId="5809509E">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default" w:ascii="Times New Roman" w:hAnsi="Times New Roman" w:eastAsia="宋体" w:cs="Times New Roman"/>
          <w:color w:val="auto"/>
          <w:sz w:val="21"/>
          <w:szCs w:val="21"/>
          <w:highlight w:val="none"/>
          <w:shd w:val="clear" w:color="auto" w:fill="auto"/>
          <w:lang w:val="en-US"/>
        </w:rPr>
      </w:pPr>
      <w:r>
        <w:rPr>
          <w:rFonts w:hint="eastAsia" w:ascii="Times New Roman" w:hAnsi="Times New Roman" w:eastAsia="宋体" w:cs="Times New Roman"/>
          <w:b/>
          <w:bCs/>
          <w:color w:val="auto"/>
          <w:kern w:val="2"/>
          <w:sz w:val="21"/>
          <w:szCs w:val="21"/>
          <w:highlight w:val="none"/>
          <w:shd w:val="clear" w:color="auto" w:fill="auto"/>
          <w:lang w:val="en-US" w:eastAsia="zh-CN" w:bidi="ar"/>
        </w:rPr>
        <w:t>【</w:t>
      </w:r>
      <w:r>
        <w:rPr>
          <w:rFonts w:hint="default" w:ascii="Times New Roman" w:hAnsi="Times New Roman" w:eastAsia="宋体" w:cs="Times New Roman"/>
          <w:b/>
          <w:bCs/>
          <w:color w:val="auto"/>
          <w:kern w:val="2"/>
          <w:sz w:val="21"/>
          <w:szCs w:val="21"/>
          <w:highlight w:val="none"/>
          <w:shd w:val="clear" w:color="auto" w:fill="auto"/>
          <w:lang w:val="en-US" w:eastAsia="zh-CN" w:bidi="ar"/>
        </w:rPr>
        <w:t>摘要</w:t>
      </w:r>
      <w:r>
        <w:rPr>
          <w:rFonts w:hint="eastAsia" w:ascii="Times New Roman" w:hAnsi="Times New Roman" w:eastAsia="宋体" w:cs="Times New Roman"/>
          <w:b/>
          <w:bCs/>
          <w:color w:val="auto"/>
          <w:kern w:val="2"/>
          <w:sz w:val="21"/>
          <w:szCs w:val="21"/>
          <w:highlight w:val="none"/>
          <w:shd w:val="clear" w:color="auto" w:fill="auto"/>
          <w:lang w:val="en-US" w:eastAsia="zh-CN" w:bidi="ar"/>
        </w:rPr>
        <w:t>】</w:t>
      </w:r>
      <w:r>
        <w:rPr>
          <w:rFonts w:hint="default" w:ascii="Times New Roman" w:hAnsi="Times New Roman" w:eastAsia="宋体" w:cs="Times New Roman"/>
          <w:b/>
          <w:bCs/>
          <w:color w:val="auto"/>
          <w:kern w:val="0"/>
          <w:sz w:val="21"/>
          <w:szCs w:val="21"/>
          <w:highlight w:val="none"/>
          <w:shd w:val="clear" w:color="auto" w:fill="auto"/>
          <w:lang w:val="en-US" w:eastAsia="zh-CN" w:bidi="ar"/>
        </w:rPr>
        <w:t>目的</w:t>
      </w:r>
      <w:r>
        <w:rPr>
          <w:rFonts w:hint="eastAsia" w:ascii="Times New Roman" w:hAnsi="Times New Roman" w:eastAsia="宋体" w:cs="Times New Roman"/>
          <w:b/>
          <w:bCs/>
          <w:color w:val="auto"/>
          <w:kern w:val="0"/>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 观察</w:t>
      </w:r>
      <w:bookmarkEnd w:id="6"/>
      <w:r>
        <w:rPr>
          <w:rFonts w:hint="default" w:ascii="Times New Roman" w:hAnsi="Times New Roman" w:eastAsia="宋体" w:cs="Times New Roman"/>
          <w:color w:val="auto"/>
          <w:kern w:val="2"/>
          <w:sz w:val="21"/>
          <w:szCs w:val="21"/>
          <w:highlight w:val="none"/>
          <w:shd w:val="clear" w:color="auto" w:fill="auto"/>
          <w:lang w:val="en-US" w:eastAsia="zh-CN" w:bidi="ar"/>
        </w:rPr>
        <w:t>功能性电刺激（FES）联合不对称性等速肌力训练</w:t>
      </w:r>
      <w:r>
        <w:rPr>
          <w:rFonts w:hint="eastAsia" w:ascii="Times New Roman" w:hAnsi="Times New Roman" w:eastAsia="宋体" w:cs="Times New Roman"/>
          <w:color w:val="auto"/>
          <w:kern w:val="2"/>
          <w:sz w:val="21"/>
          <w:szCs w:val="21"/>
          <w:highlight w:val="none"/>
          <w:shd w:val="clear" w:color="auto" w:fill="auto"/>
          <w:lang w:val="en-US" w:eastAsia="zh-CN" w:bidi="ar"/>
        </w:rPr>
        <w:t>用于</w:t>
      </w:r>
      <w:r>
        <w:rPr>
          <w:rFonts w:hint="default" w:ascii="Times New Roman" w:hAnsi="Times New Roman" w:eastAsia="宋体" w:cs="Times New Roman"/>
          <w:color w:val="auto"/>
          <w:kern w:val="2"/>
          <w:sz w:val="21"/>
          <w:szCs w:val="21"/>
          <w:highlight w:val="none"/>
          <w:shd w:val="clear" w:color="auto" w:fill="auto"/>
          <w:lang w:val="en-US" w:eastAsia="zh-CN" w:bidi="ar"/>
        </w:rPr>
        <w:t>脑卒中后偏瘫患者</w:t>
      </w:r>
      <w:r>
        <w:rPr>
          <w:rFonts w:hint="eastAsia" w:ascii="Times New Roman" w:hAnsi="Times New Roman" w:eastAsia="宋体" w:cs="Times New Roman"/>
          <w:color w:val="auto"/>
          <w:kern w:val="2"/>
          <w:sz w:val="21"/>
          <w:szCs w:val="21"/>
          <w:highlight w:val="none"/>
          <w:shd w:val="clear" w:color="auto" w:fill="auto"/>
          <w:lang w:val="en-US" w:eastAsia="zh-CN" w:bidi="ar"/>
        </w:rPr>
        <w:t>的临床疗效及安全性。</w:t>
      </w:r>
      <w:r>
        <w:rPr>
          <w:rFonts w:hint="default" w:ascii="Times New Roman" w:hAnsi="Times New Roman" w:eastAsia="宋体" w:cs="Times New Roman"/>
          <w:b/>
          <w:bCs/>
          <w:color w:val="auto"/>
          <w:kern w:val="0"/>
          <w:sz w:val="21"/>
          <w:szCs w:val="21"/>
          <w:highlight w:val="none"/>
          <w:shd w:val="clear" w:color="auto" w:fill="auto"/>
          <w:lang w:val="en-US" w:eastAsia="zh-CN" w:bidi="ar"/>
        </w:rPr>
        <w:t xml:space="preserve">方法 </w:t>
      </w:r>
      <w:r>
        <w:rPr>
          <w:rFonts w:hint="eastAsia" w:ascii="Times New Roman" w:hAnsi="Times New Roman" w:eastAsia="宋体" w:cs="Times New Roman"/>
          <w:b/>
          <w:bCs/>
          <w:color w:val="auto"/>
          <w:kern w:val="0"/>
          <w:sz w:val="21"/>
          <w:szCs w:val="21"/>
          <w:highlight w:val="none"/>
          <w:shd w:val="clear" w:color="auto" w:fill="auto"/>
          <w:lang w:val="en-US" w:eastAsia="zh-CN" w:bidi="ar"/>
        </w:rPr>
        <w:t xml:space="preserve"> </w:t>
      </w:r>
      <w:r>
        <w:rPr>
          <w:rFonts w:hint="eastAsia" w:ascii="Times New Roman" w:hAnsi="Times New Roman" w:eastAsia="宋体" w:cs="Times New Roman"/>
          <w:b w:val="0"/>
          <w:bCs w:val="0"/>
          <w:color w:val="auto"/>
          <w:kern w:val="0"/>
          <w:sz w:val="21"/>
          <w:szCs w:val="21"/>
          <w:highlight w:val="none"/>
          <w:shd w:val="clear" w:color="auto" w:fill="auto"/>
          <w:lang w:val="en-US" w:eastAsia="zh-CN" w:bidi="ar"/>
        </w:rPr>
        <w:t>前瞻性</w:t>
      </w:r>
      <w:bookmarkEnd w:id="8"/>
      <w:r>
        <w:rPr>
          <w:rFonts w:hint="eastAsia" w:ascii="Times New Roman" w:hAnsi="Times New Roman" w:eastAsia="宋体" w:cs="Times New Roman"/>
          <w:b w:val="0"/>
          <w:bCs w:val="0"/>
          <w:color w:val="auto"/>
          <w:kern w:val="0"/>
          <w:sz w:val="21"/>
          <w:szCs w:val="21"/>
          <w:highlight w:val="none"/>
          <w:shd w:val="clear" w:color="auto" w:fill="auto"/>
          <w:lang w:val="en-US" w:eastAsia="zh-CN" w:bidi="ar"/>
        </w:rPr>
        <w:t>纳入</w:t>
      </w:r>
      <w:r>
        <w:rPr>
          <w:rFonts w:hint="default" w:ascii="Times New Roman" w:hAnsi="Times New Roman" w:eastAsia="宋体" w:cs="Times New Roman"/>
          <w:color w:val="auto"/>
          <w:kern w:val="2"/>
          <w:sz w:val="21"/>
          <w:szCs w:val="21"/>
          <w:highlight w:val="none"/>
          <w:shd w:val="clear" w:color="auto" w:fill="auto"/>
          <w:lang w:val="en-US" w:eastAsia="zh-CN" w:bidi="ar"/>
        </w:rPr>
        <w:t>2020年8月</w:t>
      </w:r>
      <w:r>
        <w:rPr>
          <w:rFonts w:hint="eastAsia" w:ascii="Times New Roman" w:hAnsi="Times New Roman" w:eastAsia="宋体" w:cs="Times New Roman"/>
          <w:color w:val="auto"/>
          <w:kern w:val="2"/>
          <w:sz w:val="21"/>
          <w:szCs w:val="21"/>
          <w:highlight w:val="none"/>
          <w:shd w:val="clear" w:color="auto" w:fill="auto"/>
          <w:lang w:val="en-US" w:eastAsia="zh-CN" w:bidi="ar"/>
        </w:rPr>
        <w:t>至</w:t>
      </w:r>
      <w:r>
        <w:rPr>
          <w:rFonts w:hint="default" w:ascii="Times New Roman" w:hAnsi="Times New Roman" w:eastAsia="宋体" w:cs="Times New Roman"/>
          <w:color w:val="auto"/>
          <w:kern w:val="2"/>
          <w:sz w:val="21"/>
          <w:szCs w:val="21"/>
          <w:highlight w:val="none"/>
          <w:shd w:val="clear" w:color="auto" w:fill="auto"/>
          <w:lang w:val="en-US" w:eastAsia="zh-CN" w:bidi="ar"/>
        </w:rPr>
        <w:t>2023年12月收治</w:t>
      </w:r>
      <w:r>
        <w:rPr>
          <w:rFonts w:hint="eastAsia" w:ascii="Times New Roman" w:hAnsi="Times New Roman" w:cs="Times New Roman"/>
          <w:color w:val="auto"/>
          <w:kern w:val="2"/>
          <w:sz w:val="21"/>
          <w:szCs w:val="21"/>
          <w:highlight w:val="none"/>
          <w:shd w:val="clear" w:color="auto" w:fill="auto"/>
          <w:lang w:val="en-US" w:eastAsia="zh-CN" w:bidi="ar"/>
        </w:rPr>
        <w:t>的脑卒中</w:t>
      </w:r>
      <w:r>
        <w:rPr>
          <w:rFonts w:hint="default" w:ascii="Times New Roman" w:hAnsi="Times New Roman" w:eastAsia="宋体" w:cs="Times New Roman"/>
          <w:color w:val="auto"/>
          <w:kern w:val="2"/>
          <w:sz w:val="21"/>
          <w:szCs w:val="21"/>
          <w:highlight w:val="none"/>
          <w:shd w:val="clear" w:color="auto" w:fill="auto"/>
          <w:lang w:val="en-US" w:eastAsia="zh-CN" w:bidi="ar"/>
        </w:rPr>
        <w:t>后偏瘫患者</w:t>
      </w:r>
      <w:r>
        <w:rPr>
          <w:rFonts w:hint="eastAsia" w:ascii="Times New Roman" w:hAnsi="Times New Roman" w:eastAsia="宋体" w:cs="Times New Roman"/>
          <w:color w:val="auto"/>
          <w:kern w:val="2"/>
          <w:sz w:val="21"/>
          <w:szCs w:val="21"/>
          <w:highlight w:val="none"/>
          <w:shd w:val="clear" w:color="auto" w:fill="auto"/>
          <w:lang w:val="en-US" w:eastAsia="zh-CN" w:bidi="ar"/>
        </w:rPr>
        <w:t>为研究对象。</w:t>
      </w:r>
      <w:bookmarkEnd w:id="7"/>
      <w:r>
        <w:rPr>
          <w:rFonts w:hint="eastAsia" w:ascii="Times New Roman" w:hAnsi="Times New Roman" w:eastAsia="宋体" w:cs="Times New Roman"/>
          <w:color w:val="auto"/>
          <w:kern w:val="2"/>
          <w:sz w:val="21"/>
          <w:szCs w:val="21"/>
          <w:highlight w:val="none"/>
          <w:shd w:val="clear" w:color="auto" w:fill="auto"/>
          <w:lang w:val="en-US" w:eastAsia="zh-CN" w:bidi="ar"/>
        </w:rPr>
        <w:t>按照</w:t>
      </w:r>
      <w:r>
        <w:rPr>
          <w:rFonts w:hint="default" w:ascii="Times New Roman" w:hAnsi="Times New Roman" w:eastAsia="宋体" w:cs="Times New Roman"/>
          <w:color w:val="auto"/>
          <w:kern w:val="2"/>
          <w:sz w:val="21"/>
          <w:szCs w:val="21"/>
          <w:highlight w:val="none"/>
          <w:shd w:val="clear" w:color="auto" w:fill="auto"/>
          <w:lang w:val="en-US" w:eastAsia="zh-CN" w:bidi="ar"/>
        </w:rPr>
        <w:t>随机数字表</w:t>
      </w:r>
      <w:r>
        <w:rPr>
          <w:rFonts w:hint="eastAsia" w:ascii="Times New Roman" w:hAnsi="Times New Roman" w:eastAsia="宋体" w:cs="Times New Roman"/>
          <w:color w:val="auto"/>
          <w:kern w:val="2"/>
          <w:sz w:val="21"/>
          <w:szCs w:val="21"/>
          <w:highlight w:val="none"/>
          <w:shd w:val="clear" w:color="auto" w:fill="auto"/>
          <w:lang w:val="en-US" w:eastAsia="zh-CN" w:bidi="ar"/>
        </w:rPr>
        <w:t>将</w:t>
      </w:r>
      <w:r>
        <w:rPr>
          <w:rFonts w:hint="default" w:ascii="Times New Roman" w:hAnsi="Times New Roman" w:eastAsia="宋体" w:cs="Times New Roman"/>
          <w:color w:val="auto"/>
          <w:kern w:val="2"/>
          <w:sz w:val="21"/>
          <w:szCs w:val="21"/>
          <w:highlight w:val="none"/>
          <w:shd w:val="clear" w:color="auto" w:fill="auto"/>
          <w:lang w:val="en-US" w:eastAsia="zh-CN" w:bidi="ar"/>
        </w:rPr>
        <w:t>脑卒中后偏瘫患者分为对照组（48例，</w:t>
      </w:r>
      <w:r>
        <w:rPr>
          <w:rFonts w:hint="eastAsia" w:ascii="Times New Roman" w:hAnsi="Times New Roman" w:eastAsia="宋体" w:cs="Times New Roman"/>
          <w:color w:val="auto"/>
          <w:kern w:val="2"/>
          <w:sz w:val="21"/>
          <w:szCs w:val="21"/>
          <w:highlight w:val="none"/>
          <w:shd w:val="clear" w:color="auto" w:fill="auto"/>
          <w:lang w:val="en-US" w:eastAsia="zh-CN" w:bidi="ar"/>
        </w:rPr>
        <w:t>假</w:t>
      </w:r>
      <w:r>
        <w:rPr>
          <w:rFonts w:hint="default" w:ascii="Times New Roman" w:hAnsi="Times New Roman" w:eastAsia="宋体" w:cs="Times New Roman"/>
          <w:color w:val="auto"/>
          <w:kern w:val="2"/>
          <w:sz w:val="21"/>
          <w:szCs w:val="21"/>
          <w:highlight w:val="none"/>
          <w:shd w:val="clear" w:color="auto" w:fill="auto"/>
          <w:lang w:val="en-US" w:eastAsia="zh-CN" w:bidi="ar"/>
        </w:rPr>
        <w:t>FES</w:t>
      </w:r>
      <w:r>
        <w:rPr>
          <w:rFonts w:hint="eastAsia" w:ascii="Times New Roman" w:hAnsi="Times New Roman" w:eastAsia="宋体" w:cs="Times New Roman"/>
          <w:color w:val="auto"/>
          <w:kern w:val="2"/>
          <w:sz w:val="21"/>
          <w:szCs w:val="21"/>
          <w:highlight w:val="none"/>
          <w:shd w:val="clear" w:color="auto" w:fill="auto"/>
          <w:lang w:val="en-US" w:eastAsia="zh-CN" w:bidi="ar"/>
        </w:rPr>
        <w:t>干预联合</w:t>
      </w:r>
      <w:r>
        <w:rPr>
          <w:rFonts w:hint="default" w:ascii="Times New Roman" w:hAnsi="Times New Roman" w:eastAsia="宋体" w:cs="Times New Roman"/>
          <w:color w:val="auto"/>
          <w:kern w:val="2"/>
          <w:sz w:val="21"/>
          <w:szCs w:val="21"/>
          <w:highlight w:val="none"/>
          <w:shd w:val="clear" w:color="auto" w:fill="auto"/>
          <w:lang w:val="en-US" w:eastAsia="zh-CN" w:bidi="ar"/>
        </w:rPr>
        <w:t>不对称性等速肌力训练）</w:t>
      </w:r>
      <w:r>
        <w:rPr>
          <w:rFonts w:hint="eastAsia" w:ascii="Times New Roman" w:hAnsi="Times New Roman" w:eastAsia="宋体" w:cs="Times New Roman"/>
          <w:color w:val="auto"/>
          <w:kern w:val="2"/>
          <w:sz w:val="21"/>
          <w:szCs w:val="21"/>
          <w:highlight w:val="none"/>
          <w:shd w:val="clear" w:color="auto" w:fill="auto"/>
          <w:lang w:val="en-US" w:eastAsia="zh-CN" w:bidi="ar"/>
        </w:rPr>
        <w:t>和试验组</w:t>
      </w:r>
      <w:r>
        <w:rPr>
          <w:rFonts w:hint="default" w:ascii="Times New Roman" w:hAnsi="Times New Roman" w:eastAsia="宋体" w:cs="Times New Roman"/>
          <w:color w:val="auto"/>
          <w:kern w:val="2"/>
          <w:sz w:val="21"/>
          <w:szCs w:val="21"/>
          <w:highlight w:val="none"/>
          <w:shd w:val="clear" w:color="auto" w:fill="auto"/>
          <w:lang w:val="en-US" w:eastAsia="zh-CN" w:bidi="ar"/>
        </w:rPr>
        <w:t>（48例，FES</w:t>
      </w:r>
      <w:r>
        <w:rPr>
          <w:rFonts w:hint="eastAsia" w:ascii="Times New Roman" w:hAnsi="Times New Roman" w:eastAsia="宋体" w:cs="Times New Roman"/>
          <w:color w:val="auto"/>
          <w:kern w:val="2"/>
          <w:sz w:val="21"/>
          <w:szCs w:val="21"/>
          <w:highlight w:val="none"/>
          <w:shd w:val="clear" w:color="auto" w:fill="auto"/>
          <w:lang w:val="en-US" w:eastAsia="zh-CN" w:bidi="ar"/>
        </w:rPr>
        <w:t>联合</w:t>
      </w:r>
      <w:r>
        <w:rPr>
          <w:rFonts w:hint="default" w:ascii="Times New Roman" w:hAnsi="Times New Roman" w:eastAsia="宋体" w:cs="Times New Roman"/>
          <w:color w:val="auto"/>
          <w:kern w:val="2"/>
          <w:sz w:val="21"/>
          <w:szCs w:val="21"/>
          <w:highlight w:val="none"/>
          <w:shd w:val="clear" w:color="auto" w:fill="auto"/>
          <w:lang w:val="en-US" w:eastAsia="zh-CN" w:bidi="ar"/>
        </w:rPr>
        <w:t>不对称性等速肌力训练）</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均连续干预3周。</w:t>
      </w:r>
      <w:bookmarkEnd w:id="9"/>
      <w:r>
        <w:rPr>
          <w:rFonts w:hint="default" w:ascii="Times New Roman" w:hAnsi="Times New Roman" w:eastAsia="宋体" w:cs="Times New Roman"/>
          <w:color w:val="auto"/>
          <w:kern w:val="2"/>
          <w:sz w:val="21"/>
          <w:szCs w:val="21"/>
          <w:highlight w:val="none"/>
          <w:shd w:val="clear" w:color="auto" w:fill="auto"/>
          <w:lang w:val="en-US" w:eastAsia="zh-CN" w:bidi="ar"/>
        </w:rPr>
        <w:t>采用握力计、捏力计、</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等速肌力训练系统</w:t>
      </w:r>
      <w:r>
        <w:rPr>
          <w:rFonts w:hint="default" w:ascii="Times New Roman" w:hAnsi="Times New Roman" w:eastAsia="宋体" w:cs="Times New Roman"/>
          <w:color w:val="auto"/>
          <w:kern w:val="2"/>
          <w:sz w:val="21"/>
          <w:szCs w:val="21"/>
          <w:highlight w:val="none"/>
          <w:shd w:val="clear" w:color="auto" w:fill="auto"/>
          <w:lang w:val="en-US" w:eastAsia="zh-CN" w:bidi="ar"/>
        </w:rPr>
        <w:t>及经颅多普勒超声分别评估</w:t>
      </w:r>
      <w:r>
        <w:rPr>
          <w:rFonts w:hint="eastAsia" w:ascii="Times New Roman" w:hAnsi="Times New Roman" w:eastAsia="宋体" w:cs="Times New Roman"/>
          <w:color w:val="auto"/>
          <w:kern w:val="2"/>
          <w:sz w:val="21"/>
          <w:szCs w:val="21"/>
          <w:highlight w:val="none"/>
          <w:shd w:val="clear" w:color="auto" w:fill="auto"/>
          <w:lang w:val="en-US" w:eastAsia="zh-CN" w:bidi="ar"/>
        </w:rPr>
        <w:t>2组</w:t>
      </w:r>
      <w:r>
        <w:rPr>
          <w:rFonts w:hint="default" w:ascii="Times New Roman" w:hAnsi="Times New Roman" w:eastAsia="宋体" w:cs="Times New Roman"/>
          <w:color w:val="auto"/>
          <w:kern w:val="2"/>
          <w:sz w:val="21"/>
          <w:szCs w:val="21"/>
          <w:highlight w:val="none"/>
          <w:shd w:val="clear" w:color="auto" w:fill="auto"/>
          <w:lang w:val="en-US" w:eastAsia="zh-CN" w:bidi="ar"/>
        </w:rPr>
        <w:t>患者手部最大握力、最大捏力、腕屈伸肌力及脑血流动力学指标</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采用Fugl-Meyer评估量表上肢部分（FMA-UE）和</w:t>
      </w:r>
      <w:r>
        <w:rPr>
          <w:rFonts w:hint="default" w:ascii="Times New Roman" w:hAnsi="Times New Roman" w:eastAsia="宋体" w:cs="Times New Roman"/>
          <w:color w:val="0000FF"/>
          <w:kern w:val="2"/>
          <w:sz w:val="21"/>
          <w:szCs w:val="21"/>
          <w:highlight w:val="none"/>
          <w:shd w:val="clear" w:color="auto" w:fill="auto"/>
          <w:lang w:val="en-US" w:eastAsia="zh-CN" w:bidi="ar"/>
        </w:rPr>
        <w:t>改良Ashworth量表（MAS）评估</w:t>
      </w:r>
      <w:r>
        <w:rPr>
          <w:rFonts w:hint="eastAsia" w:ascii="Times New Roman" w:hAnsi="Times New Roman" w:eastAsia="宋体" w:cs="Times New Roman"/>
          <w:color w:val="auto"/>
          <w:kern w:val="2"/>
          <w:sz w:val="21"/>
          <w:szCs w:val="21"/>
          <w:highlight w:val="none"/>
          <w:shd w:val="clear" w:color="auto" w:fill="auto"/>
          <w:lang w:val="en-US" w:eastAsia="zh-CN" w:bidi="ar"/>
        </w:rPr>
        <w:t>2组</w:t>
      </w:r>
      <w:r>
        <w:rPr>
          <w:rFonts w:hint="default" w:ascii="Times New Roman" w:hAnsi="Times New Roman" w:eastAsia="宋体" w:cs="Times New Roman"/>
          <w:color w:val="auto"/>
          <w:kern w:val="2"/>
          <w:sz w:val="21"/>
          <w:szCs w:val="21"/>
          <w:highlight w:val="none"/>
          <w:shd w:val="clear" w:color="auto" w:fill="auto"/>
          <w:lang w:val="en-US" w:eastAsia="zh-CN" w:bidi="ar"/>
        </w:rPr>
        <w:t>患者</w:t>
      </w:r>
      <w:r>
        <w:rPr>
          <w:rFonts w:hint="eastAsia" w:ascii="Times New Roman" w:hAnsi="Times New Roman" w:eastAsia="宋体" w:cs="Times New Roman"/>
          <w:color w:val="auto"/>
          <w:kern w:val="2"/>
          <w:sz w:val="21"/>
          <w:szCs w:val="21"/>
          <w:highlight w:val="none"/>
          <w:shd w:val="clear" w:color="auto" w:fill="auto"/>
          <w:lang w:val="en-US" w:eastAsia="zh-CN" w:bidi="ar"/>
        </w:rPr>
        <w:t>的</w:t>
      </w:r>
      <w:r>
        <w:rPr>
          <w:rFonts w:hint="default" w:ascii="Times New Roman" w:hAnsi="Times New Roman" w:eastAsia="宋体" w:cs="Times New Roman"/>
          <w:color w:val="auto"/>
          <w:kern w:val="2"/>
          <w:sz w:val="21"/>
          <w:szCs w:val="21"/>
          <w:highlight w:val="none"/>
          <w:shd w:val="clear" w:color="auto" w:fill="auto"/>
          <w:lang w:val="en-US" w:eastAsia="zh-CN" w:bidi="ar"/>
        </w:rPr>
        <w:t>运动功能与</w:t>
      </w:r>
      <w:r>
        <w:rPr>
          <w:rFonts w:hint="default" w:ascii="Times New Roman" w:hAnsi="Times New Roman" w:eastAsia="宋体" w:cs="Times New Roman"/>
          <w:color w:val="0000FF"/>
          <w:kern w:val="2"/>
          <w:sz w:val="21"/>
          <w:szCs w:val="21"/>
          <w:highlight w:val="none"/>
          <w:shd w:val="clear" w:color="auto" w:fill="auto"/>
          <w:lang w:val="en-US" w:eastAsia="zh-CN" w:bidi="ar"/>
        </w:rPr>
        <w:t>肌张力</w:t>
      </w:r>
      <w:r>
        <w:rPr>
          <w:rFonts w:hint="default" w:ascii="Times New Roman" w:hAnsi="Times New Roman" w:eastAsia="宋体" w:cs="Times New Roman"/>
          <w:color w:val="auto"/>
          <w:kern w:val="2"/>
          <w:sz w:val="21"/>
          <w:szCs w:val="21"/>
          <w:highlight w:val="none"/>
          <w:shd w:val="clear" w:color="auto" w:fill="auto"/>
          <w:lang w:val="en-US" w:eastAsia="zh-CN" w:bidi="ar"/>
        </w:rPr>
        <w:t>。采用独立样本</w:t>
      </w:r>
      <w:r>
        <w:rPr>
          <w:rFonts w:hint="default" w:ascii="Times New Roman" w:hAnsi="Times New Roman" w:eastAsia="宋体" w:cs="Times New Roman"/>
          <w:i/>
          <w:iCs/>
          <w:color w:val="auto"/>
          <w:kern w:val="2"/>
          <w:sz w:val="21"/>
          <w:szCs w:val="21"/>
          <w:highlight w:val="none"/>
          <w:shd w:val="clear" w:color="auto" w:fill="auto"/>
          <w:lang w:val="en-US" w:eastAsia="zh-CN" w:bidi="ar"/>
        </w:rPr>
        <w:t>t</w:t>
      </w:r>
      <w:r>
        <w:rPr>
          <w:rFonts w:hint="default" w:ascii="Times New Roman" w:hAnsi="Times New Roman" w:eastAsia="宋体" w:cs="Times New Roman"/>
          <w:color w:val="auto"/>
          <w:kern w:val="2"/>
          <w:sz w:val="21"/>
          <w:szCs w:val="21"/>
          <w:highlight w:val="none"/>
          <w:shd w:val="clear" w:color="auto" w:fill="auto"/>
          <w:lang w:val="en-US" w:eastAsia="zh-CN" w:bidi="ar"/>
        </w:rPr>
        <w:t>检验分析</w:t>
      </w:r>
      <w:r>
        <w:rPr>
          <w:rFonts w:hint="eastAsia" w:ascii="Times New Roman" w:hAnsi="Times New Roman" w:eastAsia="宋体" w:cs="Times New Roman"/>
          <w:color w:val="auto"/>
          <w:kern w:val="2"/>
          <w:sz w:val="21"/>
          <w:szCs w:val="21"/>
          <w:highlight w:val="none"/>
          <w:shd w:val="clear" w:color="auto" w:fill="auto"/>
          <w:lang w:val="en-US" w:eastAsia="zh-CN" w:bidi="ar"/>
        </w:rPr>
        <w:t>2组</w:t>
      </w:r>
      <w:r>
        <w:rPr>
          <w:rFonts w:hint="default" w:ascii="Times New Roman" w:hAnsi="Times New Roman" w:eastAsia="宋体" w:cs="Times New Roman"/>
          <w:color w:val="auto"/>
          <w:kern w:val="2"/>
          <w:sz w:val="21"/>
          <w:szCs w:val="21"/>
          <w:highlight w:val="none"/>
          <w:shd w:val="clear" w:color="auto" w:fill="auto"/>
          <w:lang w:val="en-US" w:eastAsia="zh-CN" w:bidi="ar"/>
        </w:rPr>
        <w:t>患者各指标的组间差异。</w:t>
      </w:r>
      <w:r>
        <w:rPr>
          <w:rFonts w:hint="eastAsia" w:ascii="Times New Roman" w:hAnsi="Times New Roman" w:eastAsia="宋体" w:cs="Times New Roman"/>
          <w:color w:val="auto"/>
          <w:kern w:val="2"/>
          <w:sz w:val="21"/>
          <w:szCs w:val="21"/>
          <w:highlight w:val="none"/>
          <w:shd w:val="clear" w:color="auto" w:fill="auto"/>
          <w:lang w:val="en-US" w:eastAsia="zh-CN" w:bidi="ar"/>
        </w:rPr>
        <w:t>观察并记录2组患者不良反应的发生情况。</w:t>
      </w:r>
      <w:r>
        <w:rPr>
          <w:rFonts w:hint="default" w:ascii="Times New Roman" w:hAnsi="Times New Roman" w:eastAsia="宋体" w:cs="Times New Roman"/>
          <w:b/>
          <w:bCs/>
          <w:color w:val="auto"/>
          <w:kern w:val="2"/>
          <w:sz w:val="21"/>
          <w:szCs w:val="21"/>
          <w:highlight w:val="none"/>
          <w:shd w:val="clear" w:color="auto" w:fill="auto"/>
          <w:lang w:val="en-US" w:eastAsia="zh-CN" w:bidi="ar"/>
        </w:rPr>
        <w:t xml:space="preserve">结果 </w:t>
      </w:r>
      <w:r>
        <w:rPr>
          <w:rFonts w:hint="eastAsia" w:ascii="Times New Roman" w:hAnsi="Times New Roman" w:eastAsia="宋体" w:cs="Times New Roman"/>
          <w:b/>
          <w:bCs/>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干预</w:t>
      </w:r>
      <w:bookmarkEnd w:id="10"/>
      <w:r>
        <w:rPr>
          <w:rFonts w:hint="default" w:ascii="Times New Roman" w:hAnsi="Times New Roman" w:eastAsia="宋体" w:cs="Times New Roman"/>
          <w:b w:val="0"/>
          <w:bCs/>
          <w:color w:val="0000FF"/>
          <w:kern w:val="2"/>
          <w:sz w:val="21"/>
          <w:szCs w:val="21"/>
          <w:highlight w:val="none"/>
          <w:shd w:val="clear" w:color="auto" w:fill="auto"/>
          <w:lang w:val="en-US" w:eastAsia="zh-CN" w:bidi="ar"/>
        </w:rPr>
        <w:t>3周后，试验组</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患者的</w:t>
      </w:r>
      <w:r>
        <w:rPr>
          <w:rFonts w:hint="default" w:ascii="Times New Roman" w:hAnsi="Times New Roman" w:eastAsia="宋体" w:cs="Times New Roman"/>
          <w:b w:val="0"/>
          <w:bCs/>
          <w:color w:val="0000FF"/>
          <w:kern w:val="2"/>
          <w:sz w:val="21"/>
          <w:szCs w:val="21"/>
          <w:highlight w:val="none"/>
          <w:shd w:val="clear" w:color="auto" w:fill="auto"/>
          <w:lang w:val="en-US" w:eastAsia="zh-CN" w:bidi="ar"/>
        </w:rPr>
        <w:t>最大握力</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[（20.65±3.73</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 k</w:t>
      </w:r>
      <w:bookmarkEnd w:id="11"/>
      <w:r>
        <w:rPr>
          <w:rFonts w:hint="eastAsia" w:ascii="Times New Roman" w:hAnsi="Times New Roman" w:eastAsia="宋体" w:cs="Times New Roman"/>
          <w:b w:val="0"/>
          <w:bCs/>
          <w:color w:val="0000FF"/>
          <w:kern w:val="2"/>
          <w:sz w:val="21"/>
          <w:szCs w:val="21"/>
          <w:highlight w:val="none"/>
          <w:shd w:val="clear" w:color="auto" w:fill="auto"/>
          <w:lang w:val="en-US" w:eastAsia="zh-CN" w:bidi="ar"/>
        </w:rPr>
        <w:t>g</w:t>
      </w:r>
      <w:r>
        <w:rPr>
          <w:rFonts w:hint="eastAsia" w:ascii="Times New Roman" w:hAnsi="Times New Roman" w:cs="Times New Roman"/>
          <w:b w:val="0"/>
          <w:bCs/>
          <w:color w:val="0000FF"/>
          <w:kern w:val="2"/>
          <w:sz w:val="21"/>
          <w:szCs w:val="21"/>
          <w:highlight w:val="none"/>
          <w:shd w:val="clear" w:color="auto" w:fill="auto"/>
          <w:lang w:val="en-US" w:eastAsia="zh-CN" w:bidi="ar"/>
        </w:rPr>
        <w:t xml:space="preserve"> </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v</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s</w:t>
      </w:r>
      <w:r>
        <w:rPr>
          <w:rFonts w:hint="eastAsia" w:ascii="Times New Roman" w:hAnsi="Times New Roman" w:eastAsia="宋体" w:cs="Times New Roman"/>
          <w:b w:val="0"/>
          <w:bCs/>
          <w:i w:val="0"/>
          <w:iCs w:val="0"/>
          <w:color w:val="0000FF"/>
          <w:kern w:val="2"/>
          <w:sz w:val="21"/>
          <w:szCs w:val="21"/>
          <w:highlight w:val="none"/>
          <w:shd w:val="clear" w:color="auto" w:fill="auto"/>
          <w:lang w:val="en-US" w:eastAsia="zh-CN" w:bidi="ar"/>
        </w:rPr>
        <w:t xml:space="preserve"> （</w:t>
      </w:r>
      <w:bookmarkEnd w:id="12"/>
      <w:r>
        <w:rPr>
          <w:rFonts w:hint="eastAsia" w:ascii="Times New Roman" w:hAnsi="Times New Roman" w:eastAsia="宋体" w:cs="Times New Roman"/>
          <w:b w:val="0"/>
          <w:bCs/>
          <w:i w:val="0"/>
          <w:iCs w:val="0"/>
          <w:color w:val="0000FF"/>
          <w:kern w:val="2"/>
          <w:sz w:val="21"/>
          <w:szCs w:val="21"/>
          <w:highlight w:val="none"/>
          <w:shd w:val="clear" w:color="auto" w:fill="auto"/>
          <w:lang w:val="en-US" w:eastAsia="zh-CN" w:bidi="ar"/>
        </w:rPr>
        <w:t>15.66±3.65</w:t>
      </w:r>
      <w:r>
        <w:rPr>
          <w:rFonts w:hint="eastAsia" w:ascii="Times New Roman" w:hAnsi="Times New Roman" w:eastAsia="宋体" w:cs="Times New Roman"/>
          <w:b w:val="0"/>
          <w:bCs/>
          <w:i w:val="0"/>
          <w:iCs w:val="0"/>
          <w:color w:val="0000FF"/>
          <w:kern w:val="2"/>
          <w:sz w:val="21"/>
          <w:szCs w:val="21"/>
          <w:highlight w:val="none"/>
          <w:shd w:val="clear" w:color="auto" w:fill="auto"/>
          <w:lang w:val="en-US" w:eastAsia="zh-CN" w:bidi="ar"/>
        </w:rPr>
        <w:t>） k</w:t>
      </w:r>
      <w:bookmarkEnd w:id="13"/>
      <w:r>
        <w:rPr>
          <w:rFonts w:hint="eastAsia" w:ascii="Times New Roman" w:hAnsi="Times New Roman" w:eastAsia="宋体" w:cs="Times New Roman"/>
          <w:b w:val="0"/>
          <w:bCs/>
          <w:i w:val="0"/>
          <w:iCs w:val="0"/>
          <w:color w:val="0000FF"/>
          <w:kern w:val="2"/>
          <w:sz w:val="21"/>
          <w:szCs w:val="21"/>
          <w:highlight w:val="none"/>
          <w:shd w:val="clear" w:color="auto" w:fill="auto"/>
          <w:lang w:val="en-US" w:eastAsia="zh-CN" w:bidi="ar"/>
        </w:rPr>
        <w:t>g</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color w:val="0000FF"/>
          <w:kern w:val="2"/>
          <w:sz w:val="21"/>
          <w:szCs w:val="21"/>
          <w:highlight w:val="none"/>
          <w:shd w:val="clear" w:color="auto" w:fill="auto"/>
          <w:lang w:val="en-US" w:eastAsia="zh-CN" w:bidi="ar"/>
        </w:rPr>
        <w:t>、最大捏力</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[（7.35±1.67</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 k</w:t>
      </w:r>
      <w:bookmarkEnd w:id="14"/>
      <w:r>
        <w:rPr>
          <w:rFonts w:hint="eastAsia" w:ascii="Times New Roman" w:hAnsi="Times New Roman" w:eastAsia="宋体" w:cs="Times New Roman"/>
          <w:b w:val="0"/>
          <w:bCs/>
          <w:color w:val="0000FF"/>
          <w:kern w:val="2"/>
          <w:sz w:val="21"/>
          <w:szCs w:val="21"/>
          <w:highlight w:val="none"/>
          <w:shd w:val="clear" w:color="auto" w:fill="auto"/>
          <w:lang w:val="en-US" w:eastAsia="zh-CN" w:bidi="ar"/>
        </w:rPr>
        <w:t xml:space="preserve">g </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v</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s</w:t>
      </w:r>
      <w:r>
        <w:rPr>
          <w:rFonts w:hint="eastAsia" w:ascii="Times New Roman" w:hAnsi="Times New Roman" w:eastAsia="宋体" w:cs="Times New Roman"/>
          <w:b w:val="0"/>
          <w:bCs/>
          <w:i w:val="0"/>
          <w:iCs w:val="0"/>
          <w:color w:val="0000FF"/>
          <w:kern w:val="2"/>
          <w:sz w:val="21"/>
          <w:szCs w:val="21"/>
          <w:highlight w:val="none"/>
          <w:shd w:val="clear" w:color="auto" w:fill="auto"/>
          <w:lang w:val="en-US" w:eastAsia="zh-CN" w:bidi="ar"/>
        </w:rPr>
        <w:t xml:space="preserve"> （</w:t>
      </w:r>
      <w:bookmarkEnd w:id="15"/>
      <w:r>
        <w:rPr>
          <w:rFonts w:hint="eastAsia" w:ascii="Times New Roman" w:hAnsi="Times New Roman" w:eastAsia="宋体" w:cs="Times New Roman"/>
          <w:b w:val="0"/>
          <w:bCs/>
          <w:i w:val="0"/>
          <w:iCs w:val="0"/>
          <w:color w:val="0000FF"/>
          <w:kern w:val="2"/>
          <w:sz w:val="21"/>
          <w:szCs w:val="21"/>
          <w:highlight w:val="none"/>
          <w:shd w:val="clear" w:color="auto" w:fill="auto"/>
          <w:lang w:val="en-US" w:eastAsia="zh-CN" w:bidi="ar"/>
        </w:rPr>
        <w:t>4.59±1.54</w:t>
      </w:r>
      <w:r>
        <w:rPr>
          <w:rFonts w:hint="eastAsia" w:ascii="Times New Roman" w:hAnsi="Times New Roman" w:eastAsia="宋体" w:cs="Times New Roman"/>
          <w:b w:val="0"/>
          <w:bCs/>
          <w:i w:val="0"/>
          <w:iCs w:val="0"/>
          <w:color w:val="0000FF"/>
          <w:kern w:val="2"/>
          <w:sz w:val="21"/>
          <w:szCs w:val="21"/>
          <w:highlight w:val="none"/>
          <w:shd w:val="clear" w:color="auto" w:fill="auto"/>
          <w:lang w:val="en-US" w:eastAsia="zh-CN" w:bidi="ar"/>
        </w:rPr>
        <w:t>） k</w:t>
      </w:r>
      <w:bookmarkEnd w:id="16"/>
      <w:r>
        <w:rPr>
          <w:rFonts w:hint="eastAsia" w:ascii="Times New Roman" w:hAnsi="Times New Roman" w:eastAsia="宋体" w:cs="Times New Roman"/>
          <w:b w:val="0"/>
          <w:bCs/>
          <w:i w:val="0"/>
          <w:iCs w:val="0"/>
          <w:color w:val="0000FF"/>
          <w:kern w:val="2"/>
          <w:sz w:val="21"/>
          <w:szCs w:val="21"/>
          <w:highlight w:val="none"/>
          <w:shd w:val="clear" w:color="auto" w:fill="auto"/>
          <w:lang w:val="en-US" w:eastAsia="zh-CN" w:bidi="ar"/>
        </w:rPr>
        <w:t>g</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color w:val="0000FF"/>
          <w:kern w:val="2"/>
          <w:sz w:val="21"/>
          <w:szCs w:val="21"/>
          <w:highlight w:val="none"/>
          <w:shd w:val="clear" w:color="auto" w:fill="auto"/>
          <w:lang w:val="en-US" w:eastAsia="zh-CN" w:bidi="ar"/>
        </w:rPr>
        <w:t>、FMA-UE评分</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 xml:space="preserve">[（51.47±6.01）分 </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v</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s</w:t>
      </w:r>
      <w:r>
        <w:rPr>
          <w:rFonts w:hint="eastAsia" w:ascii="Times New Roman" w:hAnsi="Times New Roman" w:eastAsia="宋体" w:cs="Times New Roman"/>
          <w:b w:val="0"/>
          <w:bCs/>
          <w:i w:val="0"/>
          <w:iCs w:val="0"/>
          <w:color w:val="0000FF"/>
          <w:kern w:val="2"/>
          <w:sz w:val="21"/>
          <w:szCs w:val="21"/>
          <w:highlight w:val="none"/>
          <w:shd w:val="clear" w:color="auto" w:fill="auto"/>
          <w:lang w:val="en-US" w:eastAsia="zh-CN" w:bidi="ar"/>
        </w:rPr>
        <w:t xml:space="preserve"> （</w:t>
      </w:r>
      <w:bookmarkEnd w:id="17"/>
      <w:r>
        <w:rPr>
          <w:rFonts w:hint="eastAsia" w:ascii="Times New Roman" w:hAnsi="Times New Roman" w:eastAsia="宋体" w:cs="Times New Roman"/>
          <w:b w:val="0"/>
          <w:bCs/>
          <w:i w:val="0"/>
          <w:iCs w:val="0"/>
          <w:color w:val="0000FF"/>
          <w:kern w:val="2"/>
          <w:sz w:val="21"/>
          <w:szCs w:val="21"/>
          <w:highlight w:val="none"/>
          <w:shd w:val="clear" w:color="auto" w:fill="auto"/>
          <w:lang w:val="en-US" w:eastAsia="zh-CN" w:bidi="ar"/>
        </w:rPr>
        <w:t>43.66±5.89）分</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color w:val="0000FF"/>
          <w:kern w:val="2"/>
          <w:sz w:val="21"/>
          <w:szCs w:val="21"/>
          <w:highlight w:val="none"/>
          <w:shd w:val="clear" w:color="auto" w:fill="auto"/>
          <w:lang w:val="en-US" w:eastAsia="zh-CN" w:bidi="ar"/>
        </w:rPr>
        <w:t>、左侧大脑中动脉（L-MCA）血流速度[（68.22±4.01</w:t>
      </w:r>
      <w:r>
        <w:rPr>
          <w:rFonts w:hint="default" w:ascii="Times New Roman" w:hAnsi="Times New Roman" w:eastAsia="宋体" w:cs="Times New Roman"/>
          <w:b w:val="0"/>
          <w:bCs/>
          <w:color w:val="0000FF"/>
          <w:kern w:val="2"/>
          <w:sz w:val="21"/>
          <w:szCs w:val="21"/>
          <w:highlight w:val="none"/>
          <w:shd w:val="clear" w:color="auto" w:fill="auto"/>
          <w:lang w:val="en-US" w:eastAsia="zh-CN" w:bidi="ar"/>
        </w:rPr>
        <w:t>）</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 xml:space="preserve"> </w:t>
      </w:r>
      <w:r>
        <w:rPr>
          <w:rFonts w:hint="default" w:ascii="Times New Roman" w:hAnsi="Times New Roman" w:eastAsia="宋体" w:cs="Times New Roman"/>
          <w:b w:val="0"/>
          <w:bCs/>
          <w:color w:val="0000FF"/>
          <w:kern w:val="2"/>
          <w:sz w:val="21"/>
          <w:szCs w:val="21"/>
          <w:highlight w:val="none"/>
          <w:shd w:val="clear" w:color="auto" w:fill="auto"/>
          <w:lang w:val="en-US" w:eastAsia="zh-CN" w:bidi="ar"/>
        </w:rPr>
        <w:t>c</w:t>
      </w:r>
      <w:bookmarkEnd w:id="18"/>
      <w:r>
        <w:rPr>
          <w:rFonts w:hint="default" w:ascii="Times New Roman" w:hAnsi="Times New Roman" w:eastAsia="宋体" w:cs="Times New Roman"/>
          <w:b w:val="0"/>
          <w:bCs/>
          <w:color w:val="0000FF"/>
          <w:kern w:val="2"/>
          <w:sz w:val="21"/>
          <w:szCs w:val="21"/>
          <w:highlight w:val="none"/>
          <w:shd w:val="clear" w:color="auto" w:fill="auto"/>
          <w:lang w:val="en-US" w:eastAsia="zh-CN" w:bidi="ar"/>
        </w:rPr>
        <w:t xml:space="preserve">m/s </w:t>
      </w:r>
      <w:r>
        <w:rPr>
          <w:rFonts w:hint="default" w:ascii="Times New Roman" w:hAnsi="Times New Roman" w:eastAsia="宋体" w:cs="Times New Roman"/>
          <w:b w:val="0"/>
          <w:bCs/>
          <w:i/>
          <w:iCs/>
          <w:color w:val="0000FF"/>
          <w:kern w:val="2"/>
          <w:sz w:val="21"/>
          <w:szCs w:val="21"/>
          <w:highlight w:val="none"/>
          <w:shd w:val="clear" w:color="auto" w:fill="auto"/>
          <w:lang w:val="en-US" w:eastAsia="zh-CN" w:bidi="ar"/>
        </w:rPr>
        <w:t>v</w:t>
      </w:r>
      <w:r>
        <w:rPr>
          <w:rFonts w:hint="default" w:ascii="Times New Roman" w:hAnsi="Times New Roman" w:eastAsia="宋体" w:cs="Times New Roman"/>
          <w:b w:val="0"/>
          <w:bCs/>
          <w:i/>
          <w:iCs/>
          <w:color w:val="0000FF"/>
          <w:kern w:val="2"/>
          <w:sz w:val="21"/>
          <w:szCs w:val="21"/>
          <w:highlight w:val="none"/>
          <w:shd w:val="clear" w:color="auto" w:fill="auto"/>
          <w:lang w:val="en-US" w:eastAsia="zh-CN" w:bidi="ar"/>
        </w:rPr>
        <w:t>s</w:t>
      </w:r>
      <w:r>
        <w:rPr>
          <w:rFonts w:hint="default" w:ascii="Times New Roman" w:hAnsi="Times New Roman" w:eastAsia="宋体" w:cs="Times New Roman"/>
          <w:b w:val="0"/>
          <w:bCs/>
          <w:color w:val="0000FF"/>
          <w:kern w:val="2"/>
          <w:sz w:val="21"/>
          <w:szCs w:val="21"/>
          <w:highlight w:val="none"/>
          <w:shd w:val="clear" w:color="auto" w:fill="auto"/>
          <w:lang w:val="en-US" w:eastAsia="zh-CN" w:bidi="ar"/>
        </w:rPr>
        <w:t xml:space="preserve"> （</w:t>
      </w:r>
      <w:bookmarkEnd w:id="19"/>
      <w:r>
        <w:rPr>
          <w:rFonts w:hint="default" w:ascii="Times New Roman" w:hAnsi="Times New Roman" w:eastAsia="宋体" w:cs="Times New Roman"/>
          <w:b w:val="0"/>
          <w:bCs/>
          <w:color w:val="0000FF"/>
          <w:kern w:val="2"/>
          <w:sz w:val="21"/>
          <w:szCs w:val="21"/>
          <w:highlight w:val="none"/>
          <w:shd w:val="clear" w:color="auto" w:fill="auto"/>
          <w:lang w:val="en-US" w:eastAsia="zh-CN" w:bidi="ar"/>
        </w:rPr>
        <w:t>60.59±3.46</w:t>
      </w:r>
      <w:r>
        <w:rPr>
          <w:rFonts w:hint="default" w:ascii="Times New Roman" w:hAnsi="Times New Roman" w:eastAsia="宋体" w:cs="Times New Roman"/>
          <w:b w:val="0"/>
          <w:bCs/>
          <w:color w:val="0000FF"/>
          <w:kern w:val="2"/>
          <w:sz w:val="21"/>
          <w:szCs w:val="21"/>
          <w:highlight w:val="none"/>
          <w:shd w:val="clear" w:color="auto" w:fill="auto"/>
          <w:lang w:val="en-US" w:eastAsia="zh-CN" w:bidi="ar"/>
        </w:rPr>
        <w:t>）</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 xml:space="preserve"> </w:t>
      </w:r>
      <w:r>
        <w:rPr>
          <w:rFonts w:hint="default" w:ascii="Times New Roman" w:hAnsi="Times New Roman" w:eastAsia="宋体" w:cs="Times New Roman"/>
          <w:b w:val="0"/>
          <w:bCs/>
          <w:color w:val="0000FF"/>
          <w:kern w:val="2"/>
          <w:sz w:val="21"/>
          <w:szCs w:val="21"/>
          <w:highlight w:val="none"/>
          <w:shd w:val="clear" w:color="auto" w:fill="auto"/>
          <w:lang w:val="en-US" w:eastAsia="zh-CN" w:bidi="ar"/>
        </w:rPr>
        <w:t>c</w:t>
      </w:r>
      <w:bookmarkEnd w:id="20"/>
      <w:r>
        <w:rPr>
          <w:rFonts w:hint="default" w:ascii="Times New Roman" w:hAnsi="Times New Roman" w:eastAsia="宋体" w:cs="Times New Roman"/>
          <w:b w:val="0"/>
          <w:bCs/>
          <w:color w:val="0000FF"/>
          <w:kern w:val="2"/>
          <w:sz w:val="21"/>
          <w:szCs w:val="21"/>
          <w:highlight w:val="none"/>
          <w:shd w:val="clear" w:color="auto" w:fill="auto"/>
          <w:lang w:val="en-US" w:eastAsia="zh-CN" w:bidi="ar"/>
        </w:rPr>
        <w:t>m/s]</w:t>
      </w:r>
      <w:r>
        <w:rPr>
          <w:rFonts w:hint="eastAsia" w:ascii="Times New Roman" w:hAnsi="Times New Roman" w:cs="Times New Roman"/>
          <w:b w:val="0"/>
          <w:bCs/>
          <w:color w:val="0000FF"/>
          <w:kern w:val="2"/>
          <w:sz w:val="21"/>
          <w:szCs w:val="21"/>
          <w:highlight w:val="none"/>
          <w:shd w:val="clear" w:color="auto" w:fill="auto"/>
          <w:lang w:val="en-US" w:eastAsia="zh-CN" w:bidi="ar"/>
        </w:rPr>
        <w:t>、</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 xml:space="preserve">右侧大脑中动脉（R-MCA）血流速度[（69.54±3.65）cm/s </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v</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s</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 xml:space="preserve"> （</w:t>
      </w:r>
      <w:bookmarkEnd w:id="21"/>
      <w:r>
        <w:rPr>
          <w:rFonts w:hint="eastAsia" w:ascii="Times New Roman" w:hAnsi="Times New Roman" w:eastAsia="宋体" w:cs="Times New Roman"/>
          <w:b w:val="0"/>
          <w:bCs/>
          <w:color w:val="0000FF"/>
          <w:kern w:val="2"/>
          <w:sz w:val="21"/>
          <w:szCs w:val="21"/>
          <w:highlight w:val="none"/>
          <w:shd w:val="clear" w:color="auto" w:fill="auto"/>
          <w:lang w:val="en-US" w:eastAsia="zh-CN" w:bidi="ar"/>
        </w:rPr>
        <w:t xml:space="preserve">61.26±3.35）cm/s]及基底动脉（BA）血流速度[（48.23±3.02）cm/s </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v</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s</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 xml:space="preserve"> （</w:t>
      </w:r>
      <w:bookmarkEnd w:id="22"/>
      <w:r>
        <w:rPr>
          <w:rFonts w:hint="eastAsia" w:ascii="Times New Roman" w:hAnsi="Times New Roman" w:eastAsia="宋体" w:cs="Times New Roman"/>
          <w:b w:val="0"/>
          <w:bCs/>
          <w:color w:val="0000FF"/>
          <w:kern w:val="2"/>
          <w:sz w:val="21"/>
          <w:szCs w:val="21"/>
          <w:highlight w:val="none"/>
          <w:shd w:val="clear" w:color="auto" w:fill="auto"/>
          <w:lang w:val="en-US" w:eastAsia="zh-CN" w:bidi="ar"/>
        </w:rPr>
        <w:t>40.78±3.19）cm/s]均显著高于对照组患者</w:t>
      </w:r>
      <w:r>
        <w:rPr>
          <w:rFonts w:hint="eastAsia" w:ascii="Times New Roman" w:hAnsi="Times New Roman"/>
          <w:color w:val="0000FF"/>
          <w:sz w:val="21"/>
          <w:highlight w:val="none"/>
          <w:shd w:val="clear" w:color="auto" w:fill="auto"/>
          <w:lang w:eastAsia="zh-CN"/>
        </w:rPr>
        <w:t>，</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 xml:space="preserve">MAS评分[（1.13±0.11）分 </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v</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s</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 xml:space="preserve"> （</w:t>
      </w:r>
      <w:bookmarkEnd w:id="23"/>
      <w:r>
        <w:rPr>
          <w:rFonts w:hint="eastAsia" w:ascii="Times New Roman" w:hAnsi="Times New Roman" w:eastAsia="宋体" w:cs="Times New Roman"/>
          <w:b w:val="0"/>
          <w:bCs/>
          <w:color w:val="0000FF"/>
          <w:kern w:val="2"/>
          <w:sz w:val="21"/>
          <w:szCs w:val="21"/>
          <w:highlight w:val="none"/>
          <w:shd w:val="clear" w:color="auto" w:fill="auto"/>
          <w:lang w:val="en-US" w:eastAsia="zh-CN" w:bidi="ar"/>
        </w:rPr>
        <w:t>1.38±0.13）分]显著低于对照组患者（</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t</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=6.624、8.417、6.430、9.980、11.579、11.750、10.171，</w:t>
      </w:r>
      <w:r>
        <w:rPr>
          <w:rFonts w:hint="eastAsia" w:ascii="Times New Roman" w:hAnsi="Times New Roman" w:eastAsia="宋体" w:cs="Times New Roman"/>
          <w:b w:val="0"/>
          <w:bCs/>
          <w:i/>
          <w:iCs/>
          <w:color w:val="0000FF"/>
          <w:kern w:val="2"/>
          <w:sz w:val="21"/>
          <w:szCs w:val="21"/>
          <w:highlight w:val="none"/>
          <w:shd w:val="clear" w:color="auto" w:fill="auto"/>
          <w:lang w:val="en-US" w:eastAsia="zh-CN" w:bidi="ar"/>
        </w:rPr>
        <w:t>P</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均&lt;0.001）</w:t>
      </w:r>
      <w:r>
        <w:rPr>
          <w:rFonts w:hint="eastAsia" w:ascii="Times New Roman" w:hAnsi="Times New Roman" w:cs="Times New Roman"/>
          <w:b w:val="0"/>
          <w:bCs/>
          <w:color w:val="0000FF"/>
          <w:kern w:val="2"/>
          <w:sz w:val="21"/>
          <w:szCs w:val="21"/>
          <w:highlight w:val="none"/>
          <w:shd w:val="clear" w:color="auto" w:fill="auto"/>
          <w:lang w:val="en-US" w:eastAsia="zh-CN" w:bidi="ar"/>
        </w:rPr>
        <w:t>。</w:t>
      </w:r>
      <w:r>
        <w:rPr>
          <w:rFonts w:hint="default" w:ascii="Times New Roman" w:hAnsi="Times New Roman" w:eastAsia="宋体" w:cs="Times New Roman"/>
          <w:b/>
          <w:bCs w:val="0"/>
          <w:color w:val="auto"/>
          <w:kern w:val="2"/>
          <w:sz w:val="21"/>
          <w:szCs w:val="21"/>
          <w:highlight w:val="none"/>
          <w:shd w:val="clear" w:color="auto" w:fill="auto"/>
          <w:lang w:val="en-US" w:eastAsia="zh-CN" w:bidi="ar"/>
        </w:rPr>
        <w:t xml:space="preserve">结论 </w:t>
      </w:r>
      <w:r>
        <w:rPr>
          <w:rFonts w:hint="eastAsia" w:ascii="Times New Roman" w:hAnsi="Times New Roman" w:eastAsia="宋体" w:cs="Times New Roman"/>
          <w:b/>
          <w:bCs w:val="0"/>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FES联合不对称性等速肌力训练可显著提升脑卒中后偏瘫患者</w:t>
      </w:r>
      <w:r>
        <w:rPr>
          <w:rFonts w:hint="eastAsia" w:ascii="Times New Roman" w:hAnsi="Times New Roman" w:eastAsia="宋体" w:cs="Times New Roman"/>
          <w:color w:val="auto"/>
          <w:kern w:val="2"/>
          <w:sz w:val="21"/>
          <w:szCs w:val="21"/>
          <w:highlight w:val="none"/>
          <w:shd w:val="clear" w:color="auto" w:fill="auto"/>
          <w:lang w:val="en-US" w:eastAsia="zh-CN" w:bidi="ar"/>
        </w:rPr>
        <w:t>的</w:t>
      </w:r>
      <w:r>
        <w:rPr>
          <w:rFonts w:hint="default" w:ascii="Times New Roman" w:hAnsi="Times New Roman" w:eastAsia="宋体" w:cs="Times New Roman"/>
          <w:color w:val="auto"/>
          <w:kern w:val="2"/>
          <w:sz w:val="21"/>
          <w:szCs w:val="21"/>
          <w:highlight w:val="none"/>
          <w:shd w:val="clear" w:color="auto" w:fill="auto"/>
          <w:lang w:val="en-US" w:eastAsia="zh-CN" w:bidi="ar"/>
        </w:rPr>
        <w:t>手部力量</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降低肌张力</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改善脑血流动力学</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，且安全性良好</w:t>
      </w:r>
      <w:r>
        <w:rPr>
          <w:rFonts w:hint="default" w:ascii="Times New Roman" w:hAnsi="Times New Roman" w:eastAsia="宋体" w:cs="Times New Roman"/>
          <w:b w:val="0"/>
          <w:bCs w:val="0"/>
          <w:color w:val="auto"/>
          <w:sz w:val="21"/>
          <w:szCs w:val="21"/>
          <w:highlight w:val="none"/>
          <w:shd w:val="clear" w:color="auto" w:fill="auto"/>
          <w:lang w:val="en-US" w:eastAsia="zh-CN"/>
        </w:rPr>
        <w:t>。</w:t>
      </w:r>
      <w:bookmarkEnd w:id="24"/>
    </w:p>
    <w:p w14:paraId="7A521C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b/>
          <w:bCs w:val="0"/>
          <w:color w:val="auto"/>
          <w:kern w:val="2"/>
          <w:sz w:val="21"/>
          <w:szCs w:val="21"/>
          <w:highlight w:val="none"/>
          <w:shd w:val="clear" w:color="auto" w:fill="auto"/>
          <w:lang w:val="en-US" w:eastAsia="zh-CN" w:bidi="ar"/>
        </w:rPr>
        <w:t>【</w:t>
      </w:r>
      <w:r>
        <w:rPr>
          <w:rFonts w:hint="default" w:ascii="Times New Roman" w:hAnsi="Times New Roman" w:eastAsia="宋体" w:cs="Times New Roman"/>
          <w:b/>
          <w:bCs w:val="0"/>
          <w:color w:val="auto"/>
          <w:kern w:val="2"/>
          <w:sz w:val="21"/>
          <w:szCs w:val="21"/>
          <w:highlight w:val="none"/>
          <w:shd w:val="clear" w:color="auto" w:fill="auto"/>
          <w:lang w:val="en-US" w:eastAsia="zh-CN" w:bidi="ar"/>
        </w:rPr>
        <w:t>关键词</w:t>
      </w:r>
      <w:r>
        <w:rPr>
          <w:rFonts w:hint="eastAsia" w:ascii="Times New Roman" w:hAnsi="Times New Roman" w:eastAsia="宋体" w:cs="Times New Roman"/>
          <w:b/>
          <w:bCs w:val="0"/>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脑卒中；偏瘫；功能性电刺激；等速肌力训练；手部力量</w:t>
      </w:r>
    </w:p>
    <w:p w14:paraId="223FA2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p>
    <w:p w14:paraId="49ED1B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imes New Roman" w:hAnsi="Times New Roman" w:eastAsia="宋体" w:cs="Times New Roman"/>
          <w:b w:val="0"/>
          <w:bCs/>
          <w:i/>
          <w:iCs/>
          <w:color w:val="auto"/>
          <w:sz w:val="21"/>
          <w:szCs w:val="21"/>
          <w:highlight w:val="none"/>
          <w:shd w:val="clear" w:color="auto" w:fill="auto"/>
          <w:lang w:eastAsia="zh-CN"/>
        </w:rPr>
      </w:pPr>
      <w:r>
        <w:rPr>
          <w:rFonts w:hint="default" w:ascii="Times New Roman" w:hAnsi="Times New Roman" w:eastAsia="宋体" w:cs="Times New Roman"/>
          <w:b/>
          <w:bCs/>
          <w:color w:val="auto"/>
          <w:kern w:val="2"/>
          <w:sz w:val="21"/>
          <w:szCs w:val="30"/>
          <w:highlight w:val="none"/>
          <w:shd w:val="clear" w:color="auto" w:fill="auto"/>
          <w:lang w:val="en-US" w:eastAsia="zh-CN" w:bidi="ar"/>
        </w:rPr>
        <w:t xml:space="preserve">Clinical efficacy of functional electrical stimulation combined with asymmetric isokinetic training in </w:t>
      </w:r>
      <w:r>
        <w:rPr>
          <w:rFonts w:hint="eastAsia" w:ascii="Times New Roman" w:hAnsi="Times New Roman" w:eastAsia="宋体" w:cs="Times New Roman"/>
          <w:b/>
          <w:bCs/>
          <w:color w:val="auto"/>
          <w:kern w:val="2"/>
          <w:sz w:val="21"/>
          <w:szCs w:val="30"/>
          <w:highlight w:val="none"/>
          <w:shd w:val="clear" w:color="auto" w:fill="auto"/>
          <w:lang w:val="en-US" w:eastAsia="zh-CN" w:bidi="ar"/>
        </w:rPr>
        <w:t xml:space="preserve">the treatment of patients with </w:t>
      </w:r>
      <w:r>
        <w:rPr>
          <w:rFonts w:hint="default" w:ascii="Times New Roman" w:hAnsi="Times New Roman" w:eastAsia="宋体" w:cs="Times New Roman"/>
          <w:b/>
          <w:bCs/>
          <w:color w:val="auto"/>
          <w:kern w:val="2"/>
          <w:sz w:val="21"/>
          <w:szCs w:val="30"/>
          <w:highlight w:val="none"/>
          <w:shd w:val="clear" w:color="auto" w:fill="auto"/>
          <w:lang w:val="en-US" w:eastAsia="zh-CN" w:bidi="ar"/>
        </w:rPr>
        <w:t>post-stroke hemiplegia</w:t>
      </w:r>
      <w:r>
        <w:rPr>
          <w:rFonts w:hint="eastAsia" w:ascii="Times New Roman" w:hAnsi="Times New Roman" w:eastAsia="宋体" w:cs="Times New Roman"/>
          <w:b/>
          <w:bCs/>
          <w:color w:val="auto"/>
          <w:kern w:val="2"/>
          <w:sz w:val="21"/>
          <w:szCs w:val="30"/>
          <w:highlight w:val="none"/>
          <w:shd w:val="clear" w:color="auto" w:fill="auto"/>
          <w:lang w:val="en-US" w:eastAsia="zh-CN" w:bidi="ar"/>
        </w:rPr>
        <w:t xml:space="preserve">  </w:t>
      </w:r>
      <w:r>
        <w:rPr>
          <w:rFonts w:hint="default" w:ascii="Times New Roman" w:hAnsi="Times New Roman" w:eastAsia="宋体" w:cs="Times New Roman"/>
          <w:b w:val="0"/>
          <w:bCs/>
          <w:i/>
          <w:iCs/>
          <w:color w:val="auto"/>
          <w:sz w:val="21"/>
          <w:szCs w:val="21"/>
          <w:highlight w:val="none"/>
          <w:shd w:val="clear" w:color="auto" w:fill="auto"/>
        </w:rPr>
        <w:t>Wang Xue</w:t>
      </w:r>
      <w:r>
        <w:rPr>
          <w:rFonts w:hint="eastAsia" w:ascii="Times New Roman" w:hAnsi="Times New Roman" w:eastAsia="宋体" w:cs="Times New Roman"/>
          <w:b w:val="0"/>
          <w:bCs/>
          <w:i/>
          <w:iCs/>
          <w:color w:val="auto"/>
          <w:sz w:val="21"/>
          <w:szCs w:val="21"/>
          <w:highlight w:val="none"/>
          <w:shd w:val="clear" w:color="auto" w:fill="auto"/>
          <w:lang w:val="en-US" w:eastAsia="zh-CN"/>
        </w:rPr>
        <w:t>,</w:t>
      </w:r>
      <w:r>
        <w:rPr>
          <w:rFonts w:hint="default" w:ascii="Times New Roman" w:hAnsi="Times New Roman" w:eastAsia="宋体" w:cs="Times New Roman"/>
          <w:b w:val="0"/>
          <w:bCs/>
          <w:i/>
          <w:iCs/>
          <w:color w:val="auto"/>
          <w:sz w:val="21"/>
          <w:szCs w:val="21"/>
          <w:highlight w:val="none"/>
          <w:shd w:val="clear" w:color="auto" w:fill="auto"/>
          <w:lang w:val="en-US" w:eastAsia="zh-CN"/>
        </w:rPr>
        <w:t xml:space="preserve"> Bai Sen</w:t>
      </w:r>
      <w:r>
        <w:rPr>
          <w:rFonts w:hint="eastAsia" w:ascii="Times New Roman" w:hAnsi="Times New Roman" w:eastAsia="宋体" w:cs="Times New Roman"/>
          <w:b w:val="0"/>
          <w:bCs/>
          <w:i/>
          <w:iCs/>
          <w:color w:val="auto"/>
          <w:sz w:val="21"/>
          <w:szCs w:val="21"/>
          <w:highlight w:val="none"/>
          <w:shd w:val="clear" w:color="auto" w:fill="auto"/>
          <w:lang w:val="en-US" w:eastAsia="zh-CN"/>
        </w:rPr>
        <w:t>,</w:t>
      </w:r>
      <w:r>
        <w:rPr>
          <w:rFonts w:hint="default" w:ascii="Times New Roman" w:hAnsi="Times New Roman" w:eastAsia="宋体" w:cs="Times New Roman"/>
          <w:b w:val="0"/>
          <w:bCs/>
          <w:i/>
          <w:iCs/>
          <w:color w:val="auto"/>
          <w:sz w:val="21"/>
          <w:szCs w:val="21"/>
          <w:highlight w:val="none"/>
          <w:shd w:val="clear" w:color="auto" w:fill="auto"/>
          <w:lang w:val="en-US" w:eastAsia="zh-CN"/>
        </w:rPr>
        <w:t xml:space="preserve"> </w:t>
      </w:r>
      <w:r>
        <w:rPr>
          <w:rFonts w:hint="default" w:ascii="Times New Roman" w:hAnsi="Times New Roman" w:eastAsia="宋体" w:cs="Times New Roman"/>
          <w:b w:val="0"/>
          <w:bCs/>
          <w:i/>
          <w:iCs/>
          <w:color w:val="auto"/>
          <w:sz w:val="21"/>
          <w:szCs w:val="21"/>
          <w:highlight w:val="none"/>
          <w:shd w:val="clear" w:color="auto" w:fill="auto"/>
        </w:rPr>
        <w:t>Gao Shuai</w:t>
      </w:r>
      <w:r>
        <w:rPr>
          <w:rFonts w:hint="eastAsia" w:ascii="Times New Roman" w:hAnsi="Times New Roman" w:eastAsia="宋体" w:cs="Times New Roman"/>
          <w:b w:val="0"/>
          <w:bCs/>
          <w:i/>
          <w:iCs/>
          <w:color w:val="auto"/>
          <w:sz w:val="21"/>
          <w:szCs w:val="21"/>
          <w:highlight w:val="none"/>
          <w:shd w:val="clear" w:color="auto" w:fill="auto"/>
          <w:lang w:val="en-US" w:eastAsia="zh-CN"/>
        </w:rPr>
        <w:t>,</w:t>
      </w:r>
      <w:r>
        <w:rPr>
          <w:rFonts w:hint="default" w:ascii="Times New Roman" w:hAnsi="Times New Roman" w:eastAsia="宋体" w:cs="Times New Roman"/>
          <w:b w:val="0"/>
          <w:bCs/>
          <w:i/>
          <w:iCs/>
          <w:color w:val="auto"/>
          <w:sz w:val="21"/>
          <w:szCs w:val="21"/>
          <w:highlight w:val="none"/>
          <w:shd w:val="clear" w:color="auto" w:fill="auto"/>
          <w:lang w:val="en-US" w:eastAsia="zh-CN"/>
        </w:rPr>
        <w:t xml:space="preserve"> </w:t>
      </w:r>
      <w:r>
        <w:rPr>
          <w:rFonts w:hint="default" w:ascii="Times New Roman" w:hAnsi="Times New Roman" w:eastAsia="宋体" w:cs="Times New Roman"/>
          <w:b w:val="0"/>
          <w:bCs/>
          <w:i/>
          <w:iCs/>
          <w:color w:val="auto"/>
          <w:sz w:val="21"/>
          <w:szCs w:val="21"/>
          <w:highlight w:val="none"/>
          <w:shd w:val="clear" w:color="auto" w:fill="auto"/>
        </w:rPr>
        <w:t>Zhang Xiaoying</w:t>
      </w:r>
      <w:r>
        <w:rPr>
          <w:rFonts w:hint="eastAsia" w:ascii="Times New Roman" w:hAnsi="Times New Roman" w:eastAsia="宋体" w:cs="Times New Roman"/>
          <w:b w:val="0"/>
          <w:bCs/>
          <w:i/>
          <w:iCs/>
          <w:color w:val="auto"/>
          <w:sz w:val="21"/>
          <w:szCs w:val="21"/>
          <w:highlight w:val="none"/>
          <w:shd w:val="clear" w:color="auto" w:fill="auto"/>
          <w:lang w:val="en-US" w:eastAsia="zh-CN"/>
        </w:rPr>
        <w:t xml:space="preserve">,Wang Congxiao. </w:t>
      </w:r>
      <w:r>
        <w:rPr>
          <w:rFonts w:hint="default" w:ascii="Times New Roman" w:hAnsi="Times New Roman" w:eastAsia="宋体" w:cs="Times New Roman"/>
          <w:b w:val="0"/>
          <w:bCs/>
          <w:i/>
          <w:iCs/>
          <w:color w:val="auto"/>
          <w:sz w:val="21"/>
          <w:szCs w:val="21"/>
          <w:highlight w:val="none"/>
          <w:shd w:val="clear" w:color="auto" w:fill="auto"/>
          <w:lang w:eastAsia="zh-CN"/>
        </w:rPr>
        <w:t>Rehabilitation Diagnosis and Treatment Center</w:t>
      </w:r>
      <w:r>
        <w:rPr>
          <w:rFonts w:hint="eastAsia" w:ascii="Times New Roman" w:hAnsi="Times New Roman" w:eastAsia="宋体" w:cs="Times New Roman"/>
          <w:b w:val="0"/>
          <w:bCs/>
          <w:i/>
          <w:iCs/>
          <w:color w:val="auto"/>
          <w:sz w:val="21"/>
          <w:szCs w:val="21"/>
          <w:highlight w:val="none"/>
          <w:shd w:val="clear" w:color="auto" w:fill="auto"/>
          <w:lang w:val="en-US" w:eastAsia="zh-CN"/>
        </w:rPr>
        <w:t>,</w:t>
      </w:r>
      <w:r>
        <w:rPr>
          <w:rFonts w:hint="default" w:ascii="Times New Roman" w:hAnsi="Times New Roman" w:eastAsia="宋体" w:cs="Times New Roman"/>
          <w:b w:val="0"/>
          <w:bCs/>
          <w:i/>
          <w:iCs/>
          <w:color w:val="auto"/>
          <w:sz w:val="21"/>
          <w:szCs w:val="21"/>
          <w:highlight w:val="none"/>
          <w:shd w:val="clear" w:color="auto" w:fill="auto"/>
          <w:lang w:val="en-US" w:eastAsia="zh-CN"/>
        </w:rPr>
        <w:t xml:space="preserve"> </w:t>
      </w:r>
      <w:r>
        <w:rPr>
          <w:rFonts w:hint="default" w:ascii="Times New Roman" w:hAnsi="Times New Roman" w:eastAsia="宋体" w:cs="Times New Roman"/>
          <w:b w:val="0"/>
          <w:bCs/>
          <w:i/>
          <w:iCs/>
          <w:color w:val="auto"/>
          <w:sz w:val="21"/>
          <w:szCs w:val="21"/>
          <w:highlight w:val="none"/>
          <w:shd w:val="clear" w:color="auto" w:fill="auto"/>
          <w:lang w:eastAsia="zh-CN"/>
        </w:rPr>
        <w:t>Beijing Rehabilitation Hospital Affiliated to Capital Medical University</w:t>
      </w:r>
      <w:r>
        <w:rPr>
          <w:rFonts w:hint="eastAsia" w:ascii="Times New Roman" w:hAnsi="Times New Roman" w:eastAsia="宋体" w:cs="Times New Roman"/>
          <w:b w:val="0"/>
          <w:bCs/>
          <w:i/>
          <w:iCs/>
          <w:color w:val="auto"/>
          <w:sz w:val="21"/>
          <w:szCs w:val="21"/>
          <w:highlight w:val="none"/>
          <w:shd w:val="clear" w:color="auto" w:fill="auto"/>
          <w:lang w:val="en-US" w:eastAsia="zh-CN"/>
        </w:rPr>
        <w:t>,</w:t>
      </w:r>
      <w:r>
        <w:rPr>
          <w:rFonts w:hint="default" w:ascii="Times New Roman" w:hAnsi="Times New Roman" w:eastAsia="宋体" w:cs="Times New Roman"/>
          <w:b w:val="0"/>
          <w:bCs/>
          <w:i/>
          <w:iCs/>
          <w:color w:val="auto"/>
          <w:sz w:val="21"/>
          <w:szCs w:val="21"/>
          <w:highlight w:val="none"/>
          <w:shd w:val="clear" w:color="auto" w:fill="auto"/>
          <w:lang w:val="en-US" w:eastAsia="zh-CN"/>
        </w:rPr>
        <w:t xml:space="preserve"> Beijing  100144</w:t>
      </w:r>
      <w:r>
        <w:rPr>
          <w:rFonts w:hint="eastAsia" w:ascii="Times New Roman" w:hAnsi="Times New Roman" w:eastAsia="宋体" w:cs="Times New Roman"/>
          <w:b w:val="0"/>
          <w:bCs/>
          <w:i/>
          <w:iCs/>
          <w:color w:val="auto"/>
          <w:sz w:val="21"/>
          <w:szCs w:val="21"/>
          <w:highlight w:val="none"/>
          <w:shd w:val="clear" w:color="auto" w:fill="auto"/>
          <w:lang w:val="en-US" w:eastAsia="zh-CN"/>
        </w:rPr>
        <w:t>, China</w:t>
      </w:r>
      <w:bookmarkEnd w:id="25"/>
    </w:p>
    <w:p w14:paraId="202EBA85">
      <w:pPr>
        <w:pStyle w:val="23"/>
        <w:keepNext w:val="0"/>
        <w:keepLines w:val="0"/>
        <w:pageBreakBefore w:val="0"/>
        <w:wordWrap/>
        <w:overflowPunct/>
        <w:topLinePunct w:val="0"/>
        <w:bidi w:val="0"/>
        <w:spacing w:before="0" w:line="360" w:lineRule="auto"/>
        <w:ind w:firstLine="0" w:firstLineChars="0"/>
        <w:rPr>
          <w:rFonts w:hint="default" w:ascii="Times New Roman" w:hAnsi="Times New Roman" w:eastAsia="宋体" w:cs="Times New Roman"/>
          <w:b/>
          <w:color w:val="auto"/>
          <w:sz w:val="21"/>
          <w:highlight w:val="none"/>
          <w:shd w:val="clear" w:color="auto" w:fill="auto"/>
          <w:lang w:val="en-US" w:eastAsia="zh-CN"/>
        </w:rPr>
      </w:pPr>
      <w:r>
        <w:rPr>
          <w:rFonts w:hint="default" w:ascii="Times New Roman" w:hAnsi="Times New Roman" w:eastAsia="宋体" w:cs="Times New Roman"/>
          <w:b w:val="0"/>
          <w:bCs/>
          <w:i/>
          <w:iCs/>
          <w:color w:val="auto"/>
          <w:sz w:val="21"/>
          <w:highlight w:val="none"/>
          <w:shd w:val="clear" w:color="auto" w:fill="auto"/>
        </w:rPr>
        <w:t xml:space="preserve">Corresponding author: </w:t>
      </w:r>
      <w:r>
        <w:rPr>
          <w:rFonts w:hint="default" w:ascii="Times New Roman" w:hAnsi="Times New Roman" w:eastAsia="宋体" w:cs="Times New Roman"/>
          <w:bCs/>
          <w:i/>
          <w:iCs/>
          <w:color w:val="auto"/>
          <w:sz w:val="21"/>
          <w:szCs w:val="18"/>
          <w:highlight w:val="none"/>
          <w:shd w:val="clear" w:color="auto" w:fill="auto"/>
          <w:lang w:val="en-US" w:eastAsia="zh-CN"/>
        </w:rPr>
        <w:t>Wang Congxiao</w:t>
      </w:r>
      <w:r>
        <w:rPr>
          <w:rFonts w:hint="default" w:ascii="Times New Roman" w:hAnsi="Times New Roman" w:eastAsia="宋体" w:cs="Times New Roman"/>
          <w:b w:val="0"/>
          <w:bCs/>
          <w:i/>
          <w:iCs/>
          <w:color w:val="auto"/>
          <w:sz w:val="21"/>
          <w:highlight w:val="none"/>
          <w:shd w:val="clear" w:color="auto" w:fill="auto"/>
        </w:rPr>
        <w:t xml:space="preserve">, Email: </w:t>
      </w:r>
      <w:r>
        <w:rPr>
          <w:rFonts w:hint="default" w:ascii="Times New Roman" w:hAnsi="Times New Roman" w:eastAsia="宋体" w:cs="Times New Roman"/>
          <w:i/>
          <w:iCs/>
          <w:color w:val="auto"/>
          <w:sz w:val="21"/>
          <w:szCs w:val="18"/>
          <w:highlight w:val="none"/>
          <w:shd w:val="clear" w:color="auto" w:fill="auto"/>
          <w:lang w:val="en-US" w:eastAsia="zh-CN"/>
        </w:rPr>
        <w:t>wangcongxiao66@163.com</w:t>
      </w:r>
      <w:bookmarkEnd w:id="26"/>
    </w:p>
    <w:p w14:paraId="3387AA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
        </w:rPr>
      </w:pPr>
    </w:p>
    <w:p w14:paraId="784D6B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b/>
          <w:bCs/>
          <w:color w:val="auto"/>
          <w:kern w:val="2"/>
          <w:sz w:val="21"/>
          <w:szCs w:val="21"/>
          <w:highlight w:val="none"/>
          <w:shd w:val="clear" w:color="auto" w:fill="auto"/>
          <w:lang w:val="en-US" w:eastAsia="zh-CN" w:bidi="ar"/>
        </w:rPr>
        <w:t>【</w:t>
      </w:r>
      <w:r>
        <w:rPr>
          <w:rFonts w:hint="default" w:ascii="Times New Roman" w:hAnsi="Times New Roman" w:eastAsia="宋体" w:cs="Times New Roman"/>
          <w:b/>
          <w:bCs/>
          <w:color w:val="auto"/>
          <w:kern w:val="2"/>
          <w:sz w:val="21"/>
          <w:szCs w:val="21"/>
          <w:highlight w:val="none"/>
          <w:shd w:val="clear" w:color="auto" w:fill="auto"/>
          <w:lang w:val="en-US" w:eastAsia="zh-CN" w:bidi="ar"/>
        </w:rPr>
        <w:t>Abstract</w:t>
      </w:r>
      <w:r>
        <w:rPr>
          <w:rFonts w:hint="eastAsia" w:ascii="Times New Roman" w:hAnsi="Times New Roman" w:eastAsia="宋体" w:cs="Times New Roman"/>
          <w:b/>
          <w:bCs/>
          <w:color w:val="auto"/>
          <w:kern w:val="2"/>
          <w:sz w:val="21"/>
          <w:szCs w:val="21"/>
          <w:highlight w:val="none"/>
          <w:shd w:val="clear" w:color="auto" w:fill="auto"/>
          <w:lang w:val="en-US" w:eastAsia="zh-CN" w:bidi="ar"/>
        </w:rPr>
        <w:t>】</w:t>
      </w:r>
      <w:r>
        <w:rPr>
          <w:rFonts w:hint="default" w:ascii="Times New Roman" w:hAnsi="Times New Roman" w:eastAsia="宋体" w:cs="Times New Roman"/>
          <w:b/>
          <w:bCs/>
          <w:color w:val="auto"/>
          <w:kern w:val="2"/>
          <w:sz w:val="21"/>
          <w:szCs w:val="21"/>
          <w:highlight w:val="none"/>
          <w:shd w:val="clear" w:color="auto" w:fill="auto"/>
          <w:lang w:val="en-US" w:eastAsia="zh-CN" w:bidi="ar"/>
        </w:rPr>
        <w:t xml:space="preserve">Objective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To investigate the clinical efficacy and safety of functional electrical stimulation (FES) combined with asymmetric isokinetic muscle strength training in patients with post-stroke hemiplegia. </w:t>
      </w:r>
      <w:r>
        <w:rPr>
          <w:rFonts w:hint="default" w:ascii="Times New Roman" w:hAnsi="Times New Roman" w:eastAsia="宋体" w:cs="Times New Roman"/>
          <w:b/>
          <w:bCs/>
          <w:color w:val="auto"/>
          <w:kern w:val="2"/>
          <w:sz w:val="21"/>
          <w:szCs w:val="21"/>
          <w:highlight w:val="none"/>
          <w:shd w:val="clear" w:color="auto" w:fill="auto"/>
          <w:lang w:val="en-US" w:eastAsia="zh-CN" w:bidi="ar"/>
        </w:rPr>
        <w:t xml:space="preserve">Method </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96 patients with post-stroke hemiplegia admitted between August 2020 and December 2023 were prospectively enrolled and randomly assigned to control (n=48, sham FES with asymmetric isokinetic training) or treatment group (n=48, FES with asymmetric isokinetic training) for 3 weeks. Handgrip strength, pinch strength, wrist flexion/extension strength, and cerebral hemodynamics were evaluated using dynamometry, pinch gauge, isokinetic testing system, and transcranial Doppler ultrasound. Motor function and muscle tone were assessed using the Fugl-Meyer Assessment-Upper Extremity (FMA-UE) and Modified Ashworth Scale (MAS)</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w:t>
      </w:r>
      <w:bookmarkEnd w:id="27"/>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 xml:space="preserve"> Independent </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samples</w:t>
      </w:r>
      <w:bookmarkEnd w:id="28"/>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 xml:space="preserve"> t-test was employed for inter-group comparisons. </w:t>
      </w:r>
      <w:r>
        <w:rPr>
          <w:rFonts w:hint="default" w:ascii="Times New Roman" w:hAnsi="Times New Roman" w:eastAsia="宋体" w:cs="Times New Roman"/>
          <w:b/>
          <w:bCs/>
          <w:color w:val="auto"/>
          <w:kern w:val="2"/>
          <w:sz w:val="21"/>
          <w:szCs w:val="21"/>
          <w:highlight w:val="none"/>
          <w:shd w:val="clear" w:color="auto" w:fill="auto"/>
          <w:lang w:val="en-US" w:eastAsia="zh-CN" w:bidi="ar"/>
        </w:rPr>
        <w:t xml:space="preserve">Result </w:t>
      </w:r>
      <w:r>
        <w:rPr>
          <w:rFonts w:hint="default" w:ascii="Times New Roman" w:hAnsi="Times New Roman" w:eastAsia="宋体" w:cs="Times New Roman"/>
          <w:color w:val="0000FF"/>
          <w:kern w:val="2"/>
          <w:sz w:val="21"/>
          <w:szCs w:val="21"/>
          <w:highlight w:val="none"/>
          <w:shd w:val="clear" w:color="auto" w:fill="auto"/>
          <w:lang w:val="en-US" w:eastAsia="zh-CN" w:bidi="ar"/>
        </w:rPr>
        <w:t>Following intervention, the treatment group exhibited significantly higher maximum grip strength (20.65±3.73 kg vs 15.66±3.65 kg), pinch strength (7.35±1.67 kg vs 4.59±1.54 kg), and FMA-UE scores (51.47±6.01 vs 43.66±5.89) compared with controls (t=6.624, 8.417, and 6.430, respectively; all P&lt;0.001)</w:t>
      </w:r>
      <w:r>
        <w:rPr>
          <w:rFonts w:hint="default" w:ascii="Times New Roman" w:hAnsi="Times New Roman" w:eastAsia="宋体" w:cs="Times New Roman"/>
          <w:color w:val="0000FF"/>
          <w:kern w:val="2"/>
          <w:sz w:val="21"/>
          <w:szCs w:val="21"/>
          <w:highlight w:val="none"/>
          <w:shd w:val="clear" w:color="auto" w:fill="auto"/>
          <w:lang w:val="en-US" w:eastAsia="zh-CN" w:bidi="ar"/>
        </w:rPr>
        <w:t>.</w:t>
      </w:r>
      <w:bookmarkEnd w:id="29"/>
      <w:r>
        <w:rPr>
          <w:rFonts w:hint="default" w:ascii="Times New Roman" w:hAnsi="Times New Roman" w:eastAsia="宋体" w:cs="Times New Roman"/>
          <w:color w:val="0000FF"/>
          <w:kern w:val="2"/>
          <w:sz w:val="21"/>
          <w:szCs w:val="21"/>
          <w:highlight w:val="none"/>
          <w:shd w:val="clear" w:color="auto" w:fill="auto"/>
          <w:lang w:val="en-US" w:eastAsia="zh-CN" w:bidi="ar"/>
        </w:rPr>
        <w:t xml:space="preserve"> Cerebral hemodynamic parameters, including flow velocities of the left middle cerebral artery (68.22±4.01 cm/s vs 60.59±3.46 cm/s), right middle cerebral artery (69.54±3.65 cm/s vs 61.26±3.35 cm/s), and basilar artery (48.23±3.02 cm/s vs 40.78±3.19 cm/s), were all significantly elevated in the treatment group (t=9.980, 11.579, and 11.750, respectively; all P&lt;0.001)</w:t>
      </w:r>
      <w:r>
        <w:rPr>
          <w:rFonts w:hint="default" w:ascii="Times New Roman" w:hAnsi="Times New Roman" w:eastAsia="宋体" w:cs="Times New Roman"/>
          <w:color w:val="0000FF"/>
          <w:kern w:val="2"/>
          <w:sz w:val="21"/>
          <w:szCs w:val="21"/>
          <w:highlight w:val="none"/>
          <w:shd w:val="clear" w:color="auto" w:fill="auto"/>
          <w:lang w:val="en-US" w:eastAsia="zh-CN" w:bidi="ar"/>
        </w:rPr>
        <w:t>.</w:t>
      </w:r>
      <w:bookmarkEnd w:id="30"/>
      <w:r>
        <w:rPr>
          <w:rFonts w:hint="default" w:ascii="Times New Roman" w:hAnsi="Times New Roman" w:eastAsia="宋体" w:cs="Times New Roman"/>
          <w:color w:val="0000FF"/>
          <w:kern w:val="2"/>
          <w:sz w:val="21"/>
          <w:szCs w:val="21"/>
          <w:highlight w:val="none"/>
          <w:shd w:val="clear" w:color="auto" w:fill="auto"/>
          <w:lang w:val="en-US" w:eastAsia="zh-CN" w:bidi="ar"/>
        </w:rPr>
        <w:t xml:space="preserve"> Additionally, MAS scores were significantly lower in the treatment group (1.13±0.11 vs 1.38±0.13; t=10.171, P&lt;0.001)</w:t>
      </w:r>
      <w:r>
        <w:rPr>
          <w:rFonts w:hint="default" w:ascii="Times New Roman" w:hAnsi="Times New Roman" w:eastAsia="宋体" w:cs="Times New Roman"/>
          <w:color w:val="0000FF"/>
          <w:kern w:val="2"/>
          <w:sz w:val="21"/>
          <w:szCs w:val="21"/>
          <w:highlight w:val="none"/>
          <w:shd w:val="clear" w:color="auto" w:fill="auto"/>
          <w:lang w:val="en-US" w:eastAsia="zh-CN" w:bidi="ar"/>
        </w:rPr>
        <w:t>.</w:t>
      </w:r>
      <w:bookmarkEnd w:id="31"/>
      <w:r>
        <w:rPr>
          <w:rFonts w:hint="default" w:ascii="Times New Roman" w:hAnsi="Times New Roman" w:eastAsia="宋体" w:cs="Times New Roman"/>
          <w:color w:val="0000FF"/>
          <w:kern w:val="2"/>
          <w:sz w:val="21"/>
          <w:szCs w:val="21"/>
          <w:highlight w:val="none"/>
          <w:shd w:val="clear" w:color="auto" w:fill="auto"/>
          <w:lang w:val="en-US" w:eastAsia="zh-CN" w:bidi="ar"/>
        </w:rPr>
        <w:t xml:space="preserve"> Both interventions were well tolerated without adverse events.</w:t>
      </w:r>
      <w:r>
        <w:rPr>
          <w:rFonts w:hint="eastAsia" w:ascii="Times New Roman" w:hAnsi="Times New Roman" w:eastAsia="宋体" w:cs="Times New Roman"/>
          <w:color w:val="0000FF"/>
          <w:kern w:val="2"/>
          <w:sz w:val="21"/>
          <w:szCs w:val="21"/>
          <w:highlight w:val="none"/>
          <w:shd w:val="clear" w:color="auto" w:fill="auto"/>
          <w:lang w:val="en-US" w:eastAsia="zh-CN" w:bidi="ar"/>
        </w:rPr>
        <w:t xml:space="preserve"> </w:t>
      </w:r>
      <w:r>
        <w:rPr>
          <w:rFonts w:hint="default" w:ascii="Times New Roman" w:hAnsi="Times New Roman" w:eastAsia="宋体" w:cs="Times New Roman"/>
          <w:b/>
          <w:bCs/>
          <w:color w:val="auto"/>
          <w:kern w:val="2"/>
          <w:sz w:val="21"/>
          <w:szCs w:val="21"/>
          <w:highlight w:val="none"/>
          <w:shd w:val="clear" w:color="auto" w:fill="auto"/>
          <w:lang w:val="en-US" w:eastAsia="zh-CN" w:bidi="ar"/>
        </w:rPr>
        <w:t xml:space="preserve">Conclusion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FES combined with asymmetric isokinetic training significantly enhances hand strength, reduces muscle tone, and improves cerebral hemodynamics in post-stroke hemiplegic patients, </w:t>
      </w:r>
      <w:r>
        <w:rPr>
          <w:rFonts w:hint="default" w:ascii="Times New Roman" w:hAnsi="Times New Roman" w:eastAsia="宋体" w:cs="Times New Roman"/>
          <w:color w:val="auto"/>
          <w:kern w:val="2"/>
          <w:sz w:val="21"/>
          <w:szCs w:val="21"/>
          <w:highlight w:val="none"/>
          <w:shd w:val="clear" w:color="auto" w:fill="auto"/>
          <w:lang w:val="en-US" w:eastAsia="zh-CN" w:bidi="ar"/>
        </w:rPr>
        <w:t>demonstrating</w:t>
      </w:r>
      <w:bookmarkEnd w:id="32"/>
      <w:r>
        <w:rPr>
          <w:rFonts w:hint="default" w:ascii="Times New Roman" w:hAnsi="Times New Roman" w:eastAsia="宋体" w:cs="Times New Roman"/>
          <w:color w:val="auto"/>
          <w:kern w:val="2"/>
          <w:sz w:val="21"/>
          <w:szCs w:val="21"/>
          <w:highlight w:val="none"/>
          <w:shd w:val="clear" w:color="auto" w:fill="auto"/>
          <w:lang w:val="en-US" w:eastAsia="zh-CN" w:bidi="ar"/>
        </w:rPr>
        <w:t xml:space="preserve"> favorable safety profile.</w:t>
      </w:r>
    </w:p>
    <w:p w14:paraId="4EBA9E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b/>
          <w:bCs/>
          <w:color w:val="auto"/>
          <w:kern w:val="2"/>
          <w:sz w:val="21"/>
          <w:szCs w:val="21"/>
          <w:highlight w:val="none"/>
          <w:shd w:val="clear" w:color="auto" w:fill="auto"/>
          <w:lang w:val="en-US" w:eastAsia="zh-CN" w:bidi="ar"/>
        </w:rPr>
        <w:t>【</w:t>
      </w:r>
      <w:r>
        <w:rPr>
          <w:rFonts w:hint="default" w:ascii="Times New Roman" w:hAnsi="Times New Roman" w:eastAsia="宋体" w:cs="Times New Roman"/>
          <w:b/>
          <w:bCs/>
          <w:color w:val="auto"/>
          <w:kern w:val="2"/>
          <w:sz w:val="21"/>
          <w:szCs w:val="21"/>
          <w:highlight w:val="none"/>
          <w:shd w:val="clear" w:color="auto" w:fill="auto"/>
          <w:lang w:val="en-US" w:eastAsia="zh-CN" w:bidi="ar"/>
        </w:rPr>
        <w:t>Key</w:t>
      </w:r>
      <w:r>
        <w:rPr>
          <w:rFonts w:hint="eastAsia" w:ascii="Times New Roman" w:hAnsi="Times New Roman" w:eastAsia="宋体" w:cs="Times New Roman"/>
          <w:b/>
          <w:bCs/>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b/>
          <w:bCs/>
          <w:color w:val="auto"/>
          <w:kern w:val="2"/>
          <w:sz w:val="21"/>
          <w:szCs w:val="21"/>
          <w:highlight w:val="none"/>
          <w:shd w:val="clear" w:color="auto" w:fill="auto"/>
          <w:lang w:val="en-US" w:eastAsia="zh-CN" w:bidi="ar"/>
        </w:rPr>
        <w:t>words</w:t>
      </w:r>
      <w:r>
        <w:rPr>
          <w:rFonts w:hint="eastAsia" w:ascii="Times New Roman" w:hAnsi="Times New Roman" w:eastAsia="宋体" w:cs="Times New Roman"/>
          <w:b/>
          <w:bCs/>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Stroke; Hemiplegia; Functional electrical stimulation; Isokinetic training; Hand strength</w:t>
      </w:r>
    </w:p>
    <w:p w14:paraId="336DC4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p>
    <w:p w14:paraId="0EF0FA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20" w:firstLineChars="200"/>
        <w:jc w:val="both"/>
        <w:textAlignment w:val="auto"/>
        <w:rPr>
          <w:rFonts w:hint="default" w:ascii="Times New Roman" w:hAnsi="Times New Roman" w:eastAsia="宋体" w:cs="Times New Roman"/>
          <w:i w:val="0"/>
          <w:iCs w:val="0"/>
          <w:caps w:val="0"/>
          <w:color w:val="auto"/>
          <w:spacing w:val="0"/>
          <w:sz w:val="21"/>
          <w:szCs w:val="21"/>
          <w:highlight w:val="none"/>
          <w:shd w:val="clear" w:color="auto" w:fill="auto"/>
          <w:lang w:eastAsia="zh-CN"/>
        </w:rPr>
      </w:pPr>
      <w:r>
        <w:rPr>
          <w:rFonts w:hint="default" w:ascii="Times New Roman" w:hAnsi="Times New Roman" w:eastAsia="宋体" w:cs="Times New Roman"/>
          <w:i w:val="0"/>
          <w:iCs w:val="0"/>
          <w:caps w:val="0"/>
          <w:color w:val="auto"/>
          <w:spacing w:val="0"/>
          <w:sz w:val="21"/>
          <w:szCs w:val="21"/>
          <w:highlight w:val="none"/>
          <w:shd w:val="clear" w:color="auto" w:fill="auto"/>
        </w:rPr>
        <w:t>脑卒中后偏瘫作为脑卒中常见后遗症，由脑血栓或脑出血等脑血管急性事件引发，此类事件可致局部脑血流量降至20 mL/</w:t>
      </w:r>
      <w:r>
        <w:rPr>
          <w:rFonts w:hint="eastAsia" w:ascii="Times New Roman" w:hAnsi="Times New Roman" w:eastAsia="宋体" w:cs="Times New Roman"/>
          <w:i w:val="0"/>
          <w:iCs w:val="0"/>
          <w:caps w:val="0"/>
          <w:color w:val="auto"/>
          <w:spacing w:val="0"/>
          <w:sz w:val="21"/>
          <w:szCs w:val="21"/>
          <w:highlight w:val="none"/>
          <w:shd w:val="clear" w:color="auto" w:fill="auto"/>
          <w:lang w:eastAsia="zh-CN"/>
        </w:rPr>
        <w:t>（</w:t>
      </w:r>
      <w:r>
        <w:rPr>
          <w:rFonts w:hint="default" w:ascii="Times New Roman" w:hAnsi="Times New Roman" w:eastAsia="宋体" w:cs="Times New Roman"/>
          <w:i w:val="0"/>
          <w:iCs w:val="0"/>
          <w:caps w:val="0"/>
          <w:color w:val="auto"/>
          <w:spacing w:val="0"/>
          <w:sz w:val="21"/>
          <w:szCs w:val="21"/>
          <w:highlight w:val="none"/>
          <w:shd w:val="clear" w:color="auto" w:fill="auto"/>
        </w:rPr>
        <w:t>100 g/min</w:t>
      </w:r>
      <w:r>
        <w:rPr>
          <w:rFonts w:hint="eastAsia" w:ascii="Times New Roman" w:hAnsi="Times New Roman" w:eastAsia="宋体" w:cs="Times New Roman"/>
          <w:i w:val="0"/>
          <w:iCs w:val="0"/>
          <w:caps w:val="0"/>
          <w:color w:val="auto"/>
          <w:spacing w:val="0"/>
          <w:sz w:val="21"/>
          <w:szCs w:val="21"/>
          <w:highlight w:val="none"/>
          <w:shd w:val="clear" w:color="auto" w:fill="auto"/>
          <w:lang w:eastAsia="zh-CN"/>
        </w:rPr>
        <w:t>）</w:t>
      </w:r>
      <w:r>
        <w:rPr>
          <w:rFonts w:hint="default" w:ascii="Times New Roman" w:hAnsi="Times New Roman" w:eastAsia="宋体" w:cs="Times New Roman"/>
          <w:i w:val="0"/>
          <w:iCs w:val="0"/>
          <w:caps w:val="0"/>
          <w:color w:val="auto"/>
          <w:spacing w:val="0"/>
          <w:sz w:val="21"/>
          <w:szCs w:val="21"/>
          <w:highlight w:val="none"/>
          <w:shd w:val="clear" w:color="auto" w:fill="auto"/>
        </w:rPr>
        <w:t>以下，触发缺血级联反应</w:t>
      </w:r>
      <w:r>
        <w:rPr>
          <w:rFonts w:hint="default"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[1]</w:t>
      </w:r>
      <w:r>
        <w:rPr>
          <w:rFonts w:hint="default" w:ascii="Times New Roman" w:hAnsi="Times New Roman" w:eastAsia="宋体" w:cs="Times New Roman"/>
          <w:i w:val="0"/>
          <w:iCs w:val="0"/>
          <w:caps w:val="0"/>
          <w:color w:val="auto"/>
          <w:spacing w:val="0"/>
          <w:sz w:val="21"/>
          <w:szCs w:val="21"/>
          <w:highlight w:val="none"/>
          <w:shd w:val="clear" w:color="auto" w:fill="auto"/>
          <w:lang w:eastAsia="zh-CN"/>
        </w:rPr>
        <w:t>，</w:t>
      </w:r>
      <w:r>
        <w:rPr>
          <w:rFonts w:hint="default" w:ascii="Times New Roman" w:hAnsi="Times New Roman" w:eastAsia="宋体" w:cs="Times New Roman"/>
          <w:i w:val="0"/>
          <w:iCs w:val="0"/>
          <w:caps w:val="0"/>
          <w:color w:val="auto"/>
          <w:spacing w:val="0"/>
          <w:sz w:val="21"/>
          <w:szCs w:val="21"/>
          <w:highlight w:val="none"/>
          <w:shd w:val="clear" w:color="auto" w:fill="auto"/>
        </w:rPr>
        <w:t>造成大脑运动皮质及锥体束特定区域损伤，最终导致患者半侧肢体运动、感觉及协调功能障碍</w:t>
      </w:r>
      <w:r>
        <w:rPr>
          <w:rFonts w:hint="default" w:ascii="Times New Roman" w:hAnsi="Times New Roman" w:eastAsia="宋体" w:cs="Times New Roman"/>
          <w:i w:val="0"/>
          <w:iCs w:val="0"/>
          <w:caps w:val="0"/>
          <w:color w:val="auto"/>
          <w:spacing w:val="0"/>
          <w:sz w:val="21"/>
          <w:szCs w:val="21"/>
          <w:highlight w:val="none"/>
          <w:shd w:val="clear" w:color="auto" w:fill="auto"/>
          <w:lang w:eastAsia="zh-CN"/>
        </w:rPr>
        <w:t>。</w:t>
      </w:r>
      <w:r>
        <w:rPr>
          <w:rFonts w:ascii="Times New Roman" w:hAnsi="Times New Roman" w:eastAsia="宋体" w:cs="Segoe UI"/>
          <w:i w:val="0"/>
          <w:iCs w:val="0"/>
          <w:caps w:val="0"/>
          <w:color w:val="auto"/>
          <w:spacing w:val="0"/>
          <w:sz w:val="21"/>
          <w:szCs w:val="21"/>
          <w:highlight w:val="none"/>
          <w:shd w:val="clear" w:color="auto" w:fill="auto"/>
        </w:rPr>
        <w:t>流行病学调查显示，脑卒中后中重度残疾患者占比超60%，严重限制日常活动能力并显著降低生活质量</w:t>
      </w:r>
      <w:r>
        <w:rPr>
          <w:rFonts w:hint="default"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[2</w:t>
      </w:r>
      <w:r>
        <w:rPr>
          <w:rFonts w:hint="eastAsia"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w:t>
      </w:r>
      <w:r>
        <w:rPr>
          <w:rFonts w:hint="default"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3]</w:t>
      </w:r>
      <w:r>
        <w:rPr>
          <w:rFonts w:hint="default" w:ascii="Times New Roman" w:hAnsi="Times New Roman" w:eastAsia="宋体" w:cs="Times New Roman"/>
          <w:i w:val="0"/>
          <w:iCs w:val="0"/>
          <w:caps w:val="0"/>
          <w:color w:val="auto"/>
          <w:spacing w:val="0"/>
          <w:sz w:val="21"/>
          <w:szCs w:val="21"/>
          <w:highlight w:val="none"/>
          <w:shd w:val="clear" w:color="auto" w:fill="auto"/>
          <w:lang w:eastAsia="zh-CN"/>
        </w:rPr>
        <w:t>。</w:t>
      </w:r>
    </w:p>
    <w:p w14:paraId="3E84BC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20"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i w:val="0"/>
          <w:iCs w:val="0"/>
          <w:caps w:val="0"/>
          <w:color w:val="auto"/>
          <w:spacing w:val="0"/>
          <w:sz w:val="21"/>
          <w:szCs w:val="21"/>
          <w:highlight w:val="none"/>
          <w:shd w:val="clear" w:color="auto" w:fill="auto"/>
        </w:rPr>
        <w:t>手作为人体精细运动的主要执行部位，其正常功能的发挥依赖于肌肉的协调运动和力量的合理分配</w:t>
      </w:r>
      <w:r>
        <w:rPr>
          <w:rFonts w:hint="default"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[4]</w:t>
      </w:r>
      <w:r>
        <w:rPr>
          <w:rFonts w:hint="default" w:ascii="Times New Roman" w:hAnsi="Times New Roman" w:eastAsia="宋体" w:cs="Times New Roman"/>
          <w:i w:val="0"/>
          <w:iCs w:val="0"/>
          <w:caps w:val="0"/>
          <w:color w:val="auto"/>
          <w:spacing w:val="0"/>
          <w:sz w:val="21"/>
          <w:szCs w:val="21"/>
          <w:highlight w:val="none"/>
          <w:shd w:val="clear" w:color="auto" w:fill="auto"/>
        </w:rPr>
        <w:t>。脑卒中后偏瘫对手部力量及肌张力的影响尤为显著</w:t>
      </w:r>
      <w:r>
        <w:rPr>
          <w:rFonts w:hint="eastAsia"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[5]</w:t>
      </w:r>
      <w:r>
        <w:rPr>
          <w:rFonts w:hint="default" w:ascii="Times New Roman" w:hAnsi="Times New Roman" w:eastAsia="宋体" w:cs="Times New Roman"/>
          <w:i w:val="0"/>
          <w:iCs w:val="0"/>
          <w:caps w:val="0"/>
          <w:color w:val="auto"/>
          <w:spacing w:val="0"/>
          <w:sz w:val="21"/>
          <w:szCs w:val="21"/>
          <w:highlight w:val="none"/>
          <w:shd w:val="clear" w:color="auto" w:fill="auto"/>
        </w:rPr>
        <w:t>。然而，偏瘫患者的手部肌肉往往因神经支配受损而出现力量减弱、肌张力异常等问题，导致手部运动功能受限，如抓握无力、手指伸展困难等。这些问题</w:t>
      </w:r>
      <w:r>
        <w:rPr>
          <w:rFonts w:hint="eastAsia" w:ascii="Times New Roman" w:hAnsi="Times New Roman" w:cs="Times New Roman"/>
          <w:i w:val="0"/>
          <w:iCs w:val="0"/>
          <w:caps w:val="0"/>
          <w:color w:val="auto"/>
          <w:spacing w:val="0"/>
          <w:sz w:val="21"/>
          <w:szCs w:val="21"/>
          <w:highlight w:val="none"/>
          <w:shd w:val="clear" w:color="auto" w:fill="auto"/>
          <w:lang w:val="en-US" w:eastAsia="zh-CN"/>
        </w:rPr>
        <w:t>不仅会</w:t>
      </w:r>
      <w:r>
        <w:rPr>
          <w:rFonts w:hint="default" w:ascii="Times New Roman" w:hAnsi="Times New Roman" w:eastAsia="宋体" w:cs="Times New Roman"/>
          <w:i w:val="0"/>
          <w:iCs w:val="0"/>
          <w:caps w:val="0"/>
          <w:color w:val="auto"/>
          <w:spacing w:val="0"/>
          <w:sz w:val="21"/>
          <w:szCs w:val="21"/>
          <w:highlight w:val="none"/>
          <w:shd w:val="clear" w:color="auto" w:fill="auto"/>
        </w:rPr>
        <w:t>影响患者日常生活自理能力，</w:t>
      </w:r>
      <w:r>
        <w:rPr>
          <w:rFonts w:hint="eastAsia" w:ascii="Times New Roman" w:hAnsi="Times New Roman" w:cs="Times New Roman"/>
          <w:i w:val="0"/>
          <w:iCs w:val="0"/>
          <w:caps w:val="0"/>
          <w:color w:val="auto"/>
          <w:spacing w:val="0"/>
          <w:sz w:val="21"/>
          <w:szCs w:val="21"/>
          <w:highlight w:val="none"/>
          <w:shd w:val="clear" w:color="auto" w:fill="auto"/>
          <w:lang w:val="en-US" w:eastAsia="zh-CN"/>
        </w:rPr>
        <w:t>还</w:t>
      </w:r>
      <w:r>
        <w:rPr>
          <w:rFonts w:hint="default" w:ascii="Times New Roman" w:hAnsi="Times New Roman" w:eastAsia="宋体" w:cs="Times New Roman"/>
          <w:i w:val="0"/>
          <w:iCs w:val="0"/>
          <w:caps w:val="0"/>
          <w:color w:val="auto"/>
          <w:spacing w:val="0"/>
          <w:sz w:val="21"/>
          <w:szCs w:val="21"/>
          <w:highlight w:val="none"/>
          <w:shd w:val="clear" w:color="auto" w:fill="auto"/>
        </w:rPr>
        <w:t>可能引发肌肉萎缩、关节僵硬等继发性损害，进一步加剧患者的身心负担</w:t>
      </w:r>
      <w:r>
        <w:rPr>
          <w:rFonts w:hint="default"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w:t>
      </w:r>
      <w:r>
        <w:rPr>
          <w:rFonts w:hint="eastAsia"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6</w:t>
      </w:r>
      <w:r>
        <w:rPr>
          <w:rFonts w:hint="default"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w:t>
      </w:r>
      <w:r>
        <w:rPr>
          <w:rFonts w:hint="default" w:ascii="Times New Roman" w:hAnsi="Times New Roman" w:eastAsia="宋体" w:cs="Times New Roman"/>
          <w:i w:val="0"/>
          <w:iCs w:val="0"/>
          <w:caps w:val="0"/>
          <w:color w:val="auto"/>
          <w:spacing w:val="0"/>
          <w:sz w:val="21"/>
          <w:szCs w:val="21"/>
          <w:highlight w:val="none"/>
          <w:shd w:val="clear" w:color="auto" w:fill="auto"/>
        </w:rPr>
        <w:t>。不对称性等速肌力训练和功能性电刺激（</w:t>
      </w:r>
      <w:r>
        <w:rPr>
          <w:rFonts w:hint="default" w:ascii="Times New Roman" w:hAnsi="Times New Roman" w:eastAsia="宋体" w:cs="Times New Roman"/>
          <w:i w:val="0"/>
          <w:iCs w:val="0"/>
          <w:caps w:val="0"/>
          <w:color w:val="auto"/>
          <w:spacing w:val="0"/>
          <w:sz w:val="21"/>
          <w:szCs w:val="21"/>
          <w:highlight w:val="none"/>
          <w:shd w:val="clear" w:color="auto" w:fill="auto"/>
        </w:rPr>
        <w:t>functional electrical stimulation</w:t>
      </w:r>
      <w:bookmarkEnd w:id="33"/>
      <w:r>
        <w:rPr>
          <w:rFonts w:hint="eastAsia" w:ascii="Times New Roman" w:hAnsi="Times New Roman" w:eastAsia="宋体" w:cs="Times New Roman"/>
          <w:i w:val="0"/>
          <w:iCs w:val="0"/>
          <w:caps w:val="0"/>
          <w:color w:val="auto"/>
          <w:spacing w:val="0"/>
          <w:sz w:val="21"/>
          <w:szCs w:val="21"/>
          <w:highlight w:val="none"/>
          <w:shd w:val="clear" w:color="auto" w:fill="auto"/>
          <w:lang w:eastAsia="zh-CN"/>
        </w:rPr>
        <w:t>，</w:t>
      </w:r>
      <w:bookmarkEnd w:id="34"/>
      <w:r>
        <w:rPr>
          <w:rFonts w:hint="default" w:ascii="Times New Roman" w:hAnsi="Times New Roman" w:eastAsia="宋体" w:cs="Times New Roman"/>
          <w:i w:val="0"/>
          <w:iCs w:val="0"/>
          <w:caps w:val="0"/>
          <w:color w:val="auto"/>
          <w:spacing w:val="0"/>
          <w:sz w:val="21"/>
          <w:szCs w:val="21"/>
          <w:highlight w:val="none"/>
          <w:shd w:val="clear" w:color="auto" w:fill="auto"/>
        </w:rPr>
        <w:t>FES）是脑卒中康复的常用方法</w:t>
      </w:r>
      <w:r>
        <w:rPr>
          <w:rFonts w:hint="default"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w:t>
      </w:r>
      <w:r>
        <w:rPr>
          <w:rFonts w:hint="eastAsia"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7-8</w:t>
      </w:r>
      <w:r>
        <w:rPr>
          <w:rFonts w:hint="default"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w:t>
      </w:r>
      <w:r>
        <w:rPr>
          <w:rFonts w:hint="default"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0000FF"/>
          <w:kern w:val="2"/>
          <w:sz w:val="21"/>
          <w:szCs w:val="21"/>
          <w:highlight w:val="none"/>
          <w:shd w:val="clear" w:color="auto" w:fill="auto"/>
          <w:lang w:val="en-US" w:eastAsia="zh-CN" w:bidi="ar"/>
        </w:rPr>
        <w:t>等速训练通过精确调控角速度与阻力模式，可针对性提升肌肉力量与耐力；而FES则通过低频脉冲电流刺激靶肌肉群，诱发功能性肌肉收缩，进而增强肌力并改善神经肌肉控制。两者分别作用于外周力学环境与神经激活层面，具有潜在的协同增效机制。</w:t>
      </w:r>
      <w:r>
        <w:rPr>
          <w:rFonts w:hint="eastAsia" w:ascii="Times New Roman" w:hAnsi="Times New Roman" w:eastAsia="宋体" w:cs="Times New Roman"/>
          <w:color w:val="auto"/>
          <w:kern w:val="2"/>
          <w:sz w:val="21"/>
          <w:szCs w:val="21"/>
          <w:highlight w:val="none"/>
          <w:shd w:val="clear" w:color="auto" w:fill="auto"/>
          <w:lang w:val="en-US" w:eastAsia="zh-CN" w:bidi="ar"/>
        </w:rPr>
        <w:t>因此，</w:t>
      </w:r>
      <w:r>
        <w:rPr>
          <w:rFonts w:hint="default" w:ascii="Times New Roman" w:hAnsi="Times New Roman" w:eastAsia="宋体" w:cs="Times New Roman"/>
          <w:color w:val="auto"/>
          <w:kern w:val="2"/>
          <w:sz w:val="21"/>
          <w:szCs w:val="21"/>
          <w:highlight w:val="none"/>
          <w:shd w:val="clear" w:color="auto" w:fill="auto"/>
          <w:lang w:val="en-US" w:eastAsia="zh-CN" w:bidi="ar"/>
        </w:rPr>
        <w:t>本研究采用随机对照试验设计，</w:t>
      </w:r>
      <w:r>
        <w:rPr>
          <w:rFonts w:hint="eastAsia" w:ascii="Times New Roman" w:hAnsi="Times New Roman" w:eastAsia="宋体" w:cs="Times New Roman"/>
          <w:color w:val="auto"/>
          <w:kern w:val="2"/>
          <w:sz w:val="21"/>
          <w:szCs w:val="21"/>
          <w:highlight w:val="none"/>
          <w:shd w:val="clear" w:color="auto" w:fill="auto"/>
          <w:lang w:val="en-US" w:eastAsia="zh-CN" w:bidi="ar"/>
        </w:rPr>
        <w:t>旨在</w:t>
      </w:r>
      <w:r>
        <w:rPr>
          <w:rFonts w:hint="default" w:ascii="Times New Roman" w:hAnsi="Times New Roman" w:eastAsia="宋体" w:cs="Times New Roman"/>
          <w:color w:val="auto"/>
          <w:kern w:val="2"/>
          <w:sz w:val="21"/>
          <w:szCs w:val="21"/>
          <w:highlight w:val="none"/>
          <w:shd w:val="clear" w:color="auto" w:fill="auto"/>
          <w:lang w:val="en-US" w:eastAsia="zh-CN" w:bidi="ar"/>
        </w:rPr>
        <w:t>探讨FES</w:t>
      </w:r>
      <w:r>
        <w:rPr>
          <w:rFonts w:hint="eastAsia" w:ascii="Times New Roman" w:hAnsi="Times New Roman" w:eastAsia="宋体" w:cs="Times New Roman"/>
          <w:color w:val="auto"/>
          <w:kern w:val="2"/>
          <w:sz w:val="21"/>
          <w:szCs w:val="21"/>
          <w:highlight w:val="none"/>
          <w:shd w:val="clear" w:color="auto" w:fill="auto"/>
          <w:lang w:val="en-US" w:eastAsia="zh-CN" w:bidi="ar"/>
        </w:rPr>
        <w:t>联合</w:t>
      </w:r>
      <w:r>
        <w:rPr>
          <w:rFonts w:hint="default" w:ascii="Times New Roman" w:hAnsi="Times New Roman" w:eastAsia="宋体" w:cs="Times New Roman"/>
          <w:color w:val="auto"/>
          <w:kern w:val="2"/>
          <w:sz w:val="21"/>
          <w:szCs w:val="21"/>
          <w:highlight w:val="none"/>
          <w:shd w:val="clear" w:color="auto" w:fill="auto"/>
          <w:lang w:val="en-US" w:eastAsia="zh-CN" w:bidi="ar"/>
        </w:rPr>
        <w:t>非对称性肌力训练</w:t>
      </w:r>
      <w:r>
        <w:rPr>
          <w:rFonts w:hint="eastAsia" w:ascii="Times New Roman" w:hAnsi="Times New Roman" w:eastAsia="宋体" w:cs="Times New Roman"/>
          <w:color w:val="auto"/>
          <w:kern w:val="2"/>
          <w:sz w:val="21"/>
          <w:szCs w:val="21"/>
          <w:highlight w:val="none"/>
          <w:shd w:val="clear" w:color="auto" w:fill="auto"/>
          <w:lang w:val="en-US" w:eastAsia="zh-CN" w:bidi="ar"/>
        </w:rPr>
        <w:t>用于脑</w:t>
      </w:r>
      <w:r>
        <w:rPr>
          <w:rFonts w:hint="default" w:ascii="Times New Roman" w:hAnsi="Times New Roman" w:eastAsia="宋体" w:cs="Times New Roman"/>
          <w:color w:val="auto"/>
          <w:kern w:val="2"/>
          <w:sz w:val="21"/>
          <w:szCs w:val="21"/>
          <w:highlight w:val="none"/>
          <w:shd w:val="clear" w:color="auto" w:fill="auto"/>
          <w:lang w:val="en-US" w:eastAsia="zh-CN" w:bidi="ar"/>
        </w:rPr>
        <w:t>卒中后偏瘫患者的</w:t>
      </w:r>
      <w:r>
        <w:rPr>
          <w:rFonts w:hint="eastAsia" w:ascii="Times New Roman" w:hAnsi="Times New Roman" w:eastAsia="宋体" w:cs="Times New Roman"/>
          <w:color w:val="auto"/>
          <w:kern w:val="2"/>
          <w:sz w:val="21"/>
          <w:szCs w:val="21"/>
          <w:highlight w:val="none"/>
          <w:shd w:val="clear" w:color="auto" w:fill="auto"/>
          <w:lang w:val="en-US" w:eastAsia="zh-CN" w:bidi="ar"/>
        </w:rPr>
        <w:t>临床疗效及安全性</w:t>
      </w:r>
      <w:r>
        <w:rPr>
          <w:rFonts w:hint="default" w:ascii="Times New Roman" w:hAnsi="Times New Roman" w:eastAsia="宋体" w:cs="Times New Roman"/>
          <w:color w:val="auto"/>
          <w:kern w:val="2"/>
          <w:sz w:val="21"/>
          <w:szCs w:val="21"/>
          <w:highlight w:val="none"/>
          <w:shd w:val="clear" w:color="auto" w:fill="auto"/>
          <w:lang w:val="en-US" w:eastAsia="zh-CN" w:bidi="ar"/>
        </w:rPr>
        <w:t>，</w:t>
      </w:r>
      <w:r>
        <w:rPr>
          <w:rFonts w:hint="eastAsia" w:ascii="Times New Roman" w:hAnsi="Times New Roman" w:eastAsia="宋体" w:cs="Times New Roman"/>
          <w:color w:val="auto"/>
          <w:kern w:val="2"/>
          <w:sz w:val="21"/>
          <w:szCs w:val="21"/>
          <w:highlight w:val="none"/>
          <w:shd w:val="clear" w:color="auto" w:fill="auto"/>
          <w:lang w:val="en-US" w:eastAsia="zh-CN" w:bidi="ar"/>
        </w:rPr>
        <w:t>以期</w:t>
      </w:r>
      <w:r>
        <w:rPr>
          <w:rFonts w:hint="default" w:ascii="Times New Roman" w:hAnsi="Times New Roman" w:eastAsia="宋体" w:cs="Times New Roman"/>
          <w:color w:val="auto"/>
          <w:kern w:val="2"/>
          <w:sz w:val="21"/>
          <w:szCs w:val="21"/>
          <w:highlight w:val="none"/>
          <w:shd w:val="clear" w:color="auto" w:fill="auto"/>
          <w:lang w:val="en-US" w:eastAsia="zh-CN" w:bidi="ar"/>
        </w:rPr>
        <w:t>提升脑卒中后偏瘫患者的手部力量，降低肌张力，促进患者的全面康复。</w:t>
      </w:r>
    </w:p>
    <w:p w14:paraId="1B52BA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val="0"/>
          <w:color w:val="auto"/>
          <w:kern w:val="2"/>
          <w:sz w:val="21"/>
          <w:szCs w:val="21"/>
          <w:highlight w:val="none"/>
          <w:shd w:val="clear" w:color="auto" w:fill="auto"/>
          <w:lang w:val="en-US" w:eastAsia="zh-CN" w:bidi="ar"/>
        </w:rPr>
      </w:pPr>
      <w:r>
        <w:rPr>
          <w:rFonts w:hint="default" w:ascii="Times New Roman" w:hAnsi="Times New Roman" w:eastAsia="宋体" w:cs="Times New Roman"/>
          <w:b/>
          <w:bCs w:val="0"/>
          <w:color w:val="auto"/>
          <w:kern w:val="2"/>
          <w:sz w:val="21"/>
          <w:szCs w:val="21"/>
          <w:highlight w:val="none"/>
          <w:shd w:val="clear" w:color="auto" w:fill="auto"/>
          <w:lang w:val="en-US" w:eastAsia="zh-CN" w:bidi="ar"/>
        </w:rPr>
        <w:t>资料与方法</w:t>
      </w:r>
      <w:bookmarkEnd w:id="35"/>
    </w:p>
    <w:p w14:paraId="18E017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color w:val="auto"/>
          <w:kern w:val="2"/>
          <w:sz w:val="21"/>
          <w:szCs w:val="21"/>
          <w:highlight w:val="none"/>
          <w:shd w:val="clear" w:color="auto" w:fill="auto"/>
          <w:lang w:val="en-US" w:eastAsia="zh-CN" w:bidi="ar"/>
        </w:rPr>
        <w:t xml:space="preserve">    一、对象</w:t>
      </w:r>
      <w:bookmarkEnd w:id="36"/>
    </w:p>
    <w:p w14:paraId="18CC63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color w:val="auto"/>
          <w:kern w:val="2"/>
          <w:sz w:val="21"/>
          <w:szCs w:val="21"/>
          <w:highlight w:val="none"/>
          <w:shd w:val="clear" w:color="auto" w:fill="auto"/>
          <w:lang w:val="en-US" w:eastAsia="zh-CN" w:bidi="ar"/>
        </w:rPr>
        <w:t>前瞻性纳入</w:t>
      </w:r>
      <w:r>
        <w:rPr>
          <w:rFonts w:hint="default" w:ascii="Times New Roman" w:hAnsi="Times New Roman" w:eastAsia="宋体" w:cs="Times New Roman"/>
          <w:color w:val="auto"/>
          <w:kern w:val="2"/>
          <w:sz w:val="21"/>
          <w:szCs w:val="21"/>
          <w:highlight w:val="none"/>
          <w:shd w:val="clear" w:color="auto" w:fill="auto"/>
          <w:lang w:val="en-US" w:eastAsia="zh-CN" w:bidi="ar"/>
        </w:rPr>
        <w:t>2020年8月至2023年12月</w:t>
      </w:r>
      <w:r>
        <w:rPr>
          <w:rFonts w:hint="default" w:ascii="Times New Roman" w:hAnsi="Times New Roman" w:eastAsia="宋体" w:cs="Times New Roman"/>
          <w:color w:val="auto"/>
          <w:sz w:val="21"/>
          <w:szCs w:val="24"/>
          <w:highlight w:val="none"/>
          <w:shd w:val="clear" w:color="auto" w:fill="auto"/>
          <w:lang w:eastAsia="zh-CN"/>
        </w:rPr>
        <w:t>首都医科大学附属北京康复医院</w:t>
      </w:r>
      <w:r>
        <w:rPr>
          <w:rFonts w:hint="default" w:ascii="Times New Roman" w:hAnsi="Times New Roman" w:eastAsia="宋体" w:cs="Times New Roman"/>
          <w:color w:val="auto"/>
          <w:kern w:val="2"/>
          <w:sz w:val="21"/>
          <w:szCs w:val="21"/>
          <w:highlight w:val="none"/>
          <w:shd w:val="clear" w:color="auto" w:fill="auto"/>
          <w:lang w:val="en-US" w:eastAsia="zh-CN" w:bidi="ar"/>
        </w:rPr>
        <w:t>收治的脑卒中后偏瘫患者</w:t>
      </w:r>
      <w:r>
        <w:rPr>
          <w:rFonts w:hint="eastAsia" w:ascii="Times New Roman" w:hAnsi="Times New Roman" w:eastAsia="宋体" w:cs="Times New Roman"/>
          <w:color w:val="auto"/>
          <w:kern w:val="2"/>
          <w:sz w:val="21"/>
          <w:szCs w:val="21"/>
          <w:highlight w:val="none"/>
          <w:shd w:val="clear" w:color="auto" w:fill="auto"/>
          <w:lang w:val="en-US" w:eastAsia="zh-CN" w:bidi="ar"/>
        </w:rPr>
        <w:t>为研究对象。</w:t>
      </w:r>
      <w:bookmarkEnd w:id="37"/>
      <w:r>
        <w:rPr>
          <w:rFonts w:hint="default" w:ascii="Times New Roman" w:hAnsi="Times New Roman" w:eastAsia="宋体" w:cs="Times New Roman"/>
          <w:b w:val="0"/>
          <w:bCs w:val="0"/>
          <w:color w:val="auto"/>
          <w:sz w:val="21"/>
          <w:szCs w:val="42"/>
          <w:highlight w:val="none"/>
          <w:shd w:val="clear" w:color="auto" w:fill="auto"/>
          <w:lang w:val="en-US" w:eastAsia="zh-CN"/>
        </w:rPr>
        <w:t>本研究经</w:t>
      </w:r>
      <w:r>
        <w:rPr>
          <w:rFonts w:hint="eastAsia" w:ascii="Times New Roman" w:hAnsi="Times New Roman" w:cs="Times New Roman"/>
          <w:b w:val="0"/>
          <w:bCs w:val="0"/>
          <w:color w:val="auto"/>
          <w:sz w:val="21"/>
          <w:szCs w:val="42"/>
          <w:highlight w:val="none"/>
          <w:shd w:val="clear" w:color="auto" w:fill="auto"/>
          <w:lang w:val="en-US" w:eastAsia="zh-CN"/>
        </w:rPr>
        <w:t>首都医科大学附属北京康复医院</w:t>
      </w:r>
      <w:r>
        <w:rPr>
          <w:rFonts w:hint="default" w:ascii="Times New Roman" w:hAnsi="Times New Roman" w:eastAsia="宋体" w:cs="Times New Roman"/>
          <w:b w:val="0"/>
          <w:bCs w:val="0"/>
          <w:color w:val="auto"/>
          <w:sz w:val="21"/>
          <w:szCs w:val="42"/>
          <w:highlight w:val="none"/>
          <w:shd w:val="clear" w:color="auto" w:fill="auto"/>
          <w:lang w:val="en-US" w:eastAsia="zh-CN"/>
        </w:rPr>
        <w:t>伦理委员会批准</w:t>
      </w:r>
      <w:r>
        <w:rPr>
          <w:rFonts w:hint="eastAsia" w:ascii="Times New Roman" w:hAnsi="Times New Roman" w:cs="Times New Roman"/>
          <w:b w:val="0"/>
          <w:bCs w:val="0"/>
          <w:color w:val="auto"/>
          <w:sz w:val="21"/>
          <w:szCs w:val="42"/>
          <w:highlight w:val="none"/>
          <w:shd w:val="clear" w:color="auto" w:fill="auto"/>
          <w:lang w:val="en-US" w:eastAsia="zh-CN"/>
        </w:rPr>
        <w:t>[</w:t>
      </w:r>
      <w:r>
        <w:rPr>
          <w:rFonts w:hint="default" w:ascii="Times New Roman" w:hAnsi="Times New Roman" w:eastAsia="宋体" w:cs="Times New Roman"/>
          <w:b w:val="0"/>
          <w:bCs w:val="0"/>
          <w:color w:val="auto"/>
          <w:sz w:val="21"/>
          <w:szCs w:val="42"/>
          <w:highlight w:val="none"/>
          <w:shd w:val="clear" w:color="auto" w:fill="auto"/>
          <w:lang w:val="en-US" w:eastAsia="zh-CN"/>
        </w:rPr>
        <w:t>审批号：北康科研伦理审</w:t>
      </w:r>
      <w:r>
        <w:rPr>
          <w:rFonts w:hint="eastAsia" w:ascii="Times New Roman" w:hAnsi="Times New Roman" w:cs="Times New Roman"/>
          <w:b w:val="0"/>
          <w:bCs w:val="0"/>
          <w:color w:val="auto"/>
          <w:sz w:val="21"/>
          <w:szCs w:val="42"/>
          <w:highlight w:val="none"/>
          <w:shd w:val="clear" w:color="auto" w:fill="auto"/>
          <w:lang w:val="en-US" w:eastAsia="zh-CN"/>
        </w:rPr>
        <w:t>（</w:t>
      </w:r>
      <w:r>
        <w:rPr>
          <w:rFonts w:hint="default" w:ascii="Times New Roman" w:hAnsi="Times New Roman" w:eastAsia="宋体" w:cs="Times New Roman"/>
          <w:b w:val="0"/>
          <w:bCs w:val="0"/>
          <w:color w:val="auto"/>
          <w:sz w:val="21"/>
          <w:szCs w:val="42"/>
          <w:highlight w:val="none"/>
          <w:shd w:val="clear" w:color="auto" w:fill="auto"/>
          <w:lang w:val="en-US" w:eastAsia="zh-CN"/>
        </w:rPr>
        <w:t>2022bkky-048</w:t>
      </w:r>
      <w:r>
        <w:rPr>
          <w:rFonts w:hint="eastAsia" w:ascii="Times New Roman" w:hAnsi="Times New Roman" w:cs="Times New Roman"/>
          <w:b w:val="0"/>
          <w:bCs w:val="0"/>
          <w:color w:val="auto"/>
          <w:sz w:val="21"/>
          <w:szCs w:val="42"/>
          <w:highlight w:val="none"/>
          <w:shd w:val="clear" w:color="auto" w:fill="auto"/>
          <w:lang w:val="en-US" w:eastAsia="zh-CN"/>
        </w:rPr>
        <w:t>）</w:t>
      </w:r>
      <w:r>
        <w:rPr>
          <w:rFonts w:hint="default" w:ascii="Times New Roman" w:hAnsi="Times New Roman" w:eastAsia="宋体" w:cs="Times New Roman"/>
          <w:b w:val="0"/>
          <w:bCs w:val="0"/>
          <w:color w:val="auto"/>
          <w:sz w:val="21"/>
          <w:szCs w:val="42"/>
          <w:highlight w:val="none"/>
          <w:shd w:val="clear" w:color="auto" w:fill="auto"/>
          <w:lang w:val="en-US" w:eastAsia="zh-CN"/>
        </w:rPr>
        <w:t>号</w:t>
      </w:r>
      <w:r>
        <w:rPr>
          <w:rFonts w:hint="eastAsia" w:ascii="Times New Roman" w:hAnsi="Times New Roman" w:cs="Times New Roman"/>
          <w:b w:val="0"/>
          <w:bCs w:val="0"/>
          <w:color w:val="auto"/>
          <w:sz w:val="21"/>
          <w:szCs w:val="42"/>
          <w:highlight w:val="none"/>
          <w:shd w:val="clear" w:color="auto" w:fill="auto"/>
          <w:lang w:val="en-US" w:eastAsia="zh-CN"/>
        </w:rPr>
        <w:t>]</w:t>
      </w:r>
      <w:r>
        <w:rPr>
          <w:rFonts w:hint="default" w:ascii="Times New Roman" w:hAnsi="Times New Roman" w:eastAsia="宋体" w:cs="Times New Roman"/>
          <w:b w:val="0"/>
          <w:bCs w:val="0"/>
          <w:color w:val="auto"/>
          <w:sz w:val="21"/>
          <w:szCs w:val="42"/>
          <w:highlight w:val="none"/>
          <w:shd w:val="clear" w:color="auto" w:fill="auto"/>
          <w:lang w:val="en-US" w:eastAsia="zh-CN"/>
        </w:rPr>
        <w:t>。</w:t>
      </w:r>
      <w:r>
        <w:rPr>
          <w:rFonts w:hint="eastAsia" w:ascii="Times New Roman" w:hAnsi="Times New Roman" w:eastAsia="宋体" w:cs="Times New Roman"/>
          <w:color w:val="auto"/>
          <w:sz w:val="21"/>
          <w:highlight w:val="none"/>
          <w:shd w:val="clear" w:color="auto" w:fill="auto"/>
          <w:lang w:val="en-US" w:eastAsia="zh-CN"/>
        </w:rPr>
        <w:t>所有患者及其家属均签署知情同意书。</w:t>
      </w:r>
    </w:p>
    <w:p w14:paraId="42823E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纳入标准：</w:t>
      </w:r>
      <w:r>
        <w:rPr>
          <w:rFonts w:hint="eastAsia" w:ascii="Times New Roman" w:hAnsi="Times New Roman" w:eastAsia="宋体" w:cs="Times New Roman"/>
          <w:color w:val="auto"/>
          <w:kern w:val="2"/>
          <w:sz w:val="21"/>
          <w:szCs w:val="21"/>
          <w:highlight w:val="none"/>
          <w:shd w:val="clear" w:color="auto" w:fill="auto"/>
          <w:lang w:val="en-US" w:eastAsia="zh-CN" w:bidi="ar"/>
        </w:rPr>
        <w:t>（1）</w:t>
      </w:r>
      <w:r>
        <w:rPr>
          <w:rFonts w:hint="default" w:ascii="Times New Roman" w:hAnsi="Times New Roman" w:eastAsia="宋体" w:cs="Times New Roman"/>
          <w:color w:val="auto"/>
          <w:kern w:val="2"/>
          <w:sz w:val="21"/>
          <w:szCs w:val="21"/>
          <w:highlight w:val="none"/>
          <w:shd w:val="clear" w:color="auto" w:fill="auto"/>
          <w:lang w:val="en-US" w:eastAsia="zh-CN" w:bidi="ar"/>
        </w:rPr>
        <w:t>符合</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中国各类主要脑血管病诊断要点2019</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eastAsia" w:ascii="Times New Roman" w:hAnsi="Times New Roman" w:eastAsia="宋体" w:cs="Times New Roman"/>
          <w:color w:val="auto"/>
          <w:kern w:val="2"/>
          <w:sz w:val="21"/>
          <w:szCs w:val="21"/>
          <w:highlight w:val="none"/>
          <w:shd w:val="clear" w:color="auto" w:fill="auto"/>
          <w:vertAlign w:val="superscript"/>
          <w:lang w:val="en-US" w:eastAsia="zh-CN" w:bidi="ar"/>
        </w:rPr>
        <w:t>[9]</w:t>
      </w:r>
      <w:r>
        <w:rPr>
          <w:rFonts w:hint="eastAsia" w:ascii="Times New Roman" w:hAnsi="Times New Roman" w:eastAsia="宋体" w:cs="Times New Roman"/>
          <w:color w:val="auto"/>
          <w:kern w:val="2"/>
          <w:sz w:val="21"/>
          <w:szCs w:val="21"/>
          <w:highlight w:val="none"/>
          <w:shd w:val="clear" w:color="auto" w:fill="auto"/>
          <w:lang w:val="en-US" w:eastAsia="zh-CN" w:bidi="ar"/>
        </w:rPr>
        <w:t>中关于</w:t>
      </w:r>
      <w:r>
        <w:rPr>
          <w:rFonts w:hint="default" w:ascii="Times New Roman" w:hAnsi="Times New Roman" w:eastAsia="宋体" w:cs="Times New Roman"/>
          <w:color w:val="auto"/>
          <w:kern w:val="2"/>
          <w:sz w:val="21"/>
          <w:szCs w:val="21"/>
          <w:highlight w:val="none"/>
          <w:shd w:val="clear" w:color="auto" w:fill="auto"/>
          <w:lang w:val="en-US" w:eastAsia="zh-CN" w:bidi="ar"/>
        </w:rPr>
        <w:t>脑卒中</w:t>
      </w:r>
      <w:r>
        <w:rPr>
          <w:rFonts w:hint="eastAsia" w:ascii="Times New Roman" w:hAnsi="Times New Roman" w:eastAsia="宋体" w:cs="Times New Roman"/>
          <w:color w:val="auto"/>
          <w:kern w:val="2"/>
          <w:sz w:val="21"/>
          <w:szCs w:val="21"/>
          <w:highlight w:val="none"/>
          <w:shd w:val="clear" w:color="auto" w:fill="auto"/>
          <w:lang w:val="en-US" w:eastAsia="zh-CN" w:bidi="ar"/>
        </w:rPr>
        <w:t>后</w:t>
      </w:r>
      <w:r>
        <w:rPr>
          <w:rFonts w:hint="default" w:ascii="Times New Roman" w:hAnsi="Times New Roman" w:eastAsia="宋体" w:cs="Times New Roman"/>
          <w:color w:val="auto"/>
          <w:kern w:val="2"/>
          <w:sz w:val="21"/>
          <w:szCs w:val="21"/>
          <w:highlight w:val="none"/>
          <w:shd w:val="clear" w:color="auto" w:fill="auto"/>
          <w:lang w:val="en-US" w:eastAsia="zh-CN" w:bidi="ar"/>
        </w:rPr>
        <w:t>偏瘫的诊断标准；</w:t>
      </w:r>
      <w:r>
        <w:rPr>
          <w:rFonts w:hint="eastAsia" w:ascii="Times New Roman" w:hAnsi="Times New Roman" w:eastAsia="宋体" w:cs="Times New Roman"/>
          <w:color w:val="auto"/>
          <w:kern w:val="2"/>
          <w:sz w:val="21"/>
          <w:szCs w:val="21"/>
          <w:highlight w:val="none"/>
          <w:shd w:val="clear" w:color="auto" w:fill="auto"/>
          <w:lang w:val="en-US" w:eastAsia="zh-CN" w:bidi="ar"/>
        </w:rPr>
        <w:t>（2）</w:t>
      </w:r>
      <w:r>
        <w:rPr>
          <w:rFonts w:hint="default" w:ascii="Times New Roman" w:hAnsi="Times New Roman" w:eastAsia="宋体" w:cs="Times New Roman"/>
          <w:color w:val="auto"/>
          <w:kern w:val="2"/>
          <w:sz w:val="21"/>
          <w:szCs w:val="21"/>
          <w:highlight w:val="none"/>
          <w:shd w:val="clear" w:color="auto" w:fill="auto"/>
          <w:lang w:val="en-US" w:eastAsia="zh-CN" w:bidi="ar"/>
        </w:rPr>
        <w:t>年龄40</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80岁；</w:t>
      </w:r>
      <w:r>
        <w:rPr>
          <w:rFonts w:hint="eastAsia" w:ascii="Times New Roman" w:hAnsi="Times New Roman" w:eastAsia="宋体" w:cs="Times New Roman"/>
          <w:color w:val="auto"/>
          <w:kern w:val="2"/>
          <w:sz w:val="21"/>
          <w:szCs w:val="21"/>
          <w:highlight w:val="none"/>
          <w:shd w:val="clear" w:color="auto" w:fill="auto"/>
          <w:lang w:val="en-US" w:eastAsia="zh-CN" w:bidi="ar"/>
        </w:rPr>
        <w:t>（3）</w:t>
      </w:r>
      <w:r>
        <w:rPr>
          <w:rFonts w:hint="default" w:ascii="Times New Roman" w:hAnsi="Times New Roman" w:eastAsia="宋体" w:cs="Times New Roman"/>
          <w:color w:val="auto"/>
          <w:kern w:val="2"/>
          <w:sz w:val="21"/>
          <w:szCs w:val="21"/>
          <w:highlight w:val="none"/>
          <w:shd w:val="clear" w:color="auto" w:fill="auto"/>
          <w:lang w:val="en-US" w:eastAsia="zh-CN" w:bidi="ar"/>
        </w:rPr>
        <w:t>首次发病，且病程在30</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60</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d；</w:t>
      </w:r>
      <w:r>
        <w:rPr>
          <w:rFonts w:hint="eastAsia" w:ascii="Times New Roman" w:hAnsi="Times New Roman" w:eastAsia="宋体" w:cs="Times New Roman"/>
          <w:color w:val="auto"/>
          <w:kern w:val="2"/>
          <w:sz w:val="21"/>
          <w:szCs w:val="21"/>
          <w:highlight w:val="none"/>
          <w:shd w:val="clear" w:color="auto" w:fill="auto"/>
          <w:lang w:val="en-US" w:eastAsia="zh-CN" w:bidi="ar"/>
        </w:rPr>
        <w:t>（4）</w:t>
      </w:r>
      <w:r>
        <w:rPr>
          <w:rFonts w:hint="default" w:ascii="Times New Roman" w:hAnsi="Times New Roman" w:eastAsia="宋体" w:cs="Times New Roman"/>
          <w:color w:val="auto"/>
          <w:kern w:val="2"/>
          <w:sz w:val="21"/>
          <w:szCs w:val="21"/>
          <w:highlight w:val="none"/>
          <w:shd w:val="clear" w:color="auto" w:fill="auto"/>
          <w:lang w:val="en-US" w:eastAsia="zh-CN" w:bidi="ar"/>
        </w:rPr>
        <w:t>患者认知正常、意识清晰；</w:t>
      </w:r>
      <w:r>
        <w:rPr>
          <w:rFonts w:hint="eastAsia" w:ascii="Times New Roman" w:hAnsi="Times New Roman" w:eastAsia="宋体" w:cs="Times New Roman"/>
          <w:color w:val="auto"/>
          <w:kern w:val="2"/>
          <w:sz w:val="21"/>
          <w:szCs w:val="21"/>
          <w:highlight w:val="none"/>
          <w:shd w:val="clear" w:color="auto" w:fill="auto"/>
          <w:lang w:val="en-US" w:eastAsia="zh-CN" w:bidi="ar"/>
        </w:rPr>
        <w:t>（5）</w:t>
      </w:r>
      <w:r>
        <w:rPr>
          <w:rFonts w:hint="default" w:ascii="Times New Roman" w:hAnsi="Times New Roman" w:eastAsia="宋体" w:cs="Times New Roman"/>
          <w:color w:val="auto"/>
          <w:kern w:val="2"/>
          <w:sz w:val="21"/>
          <w:szCs w:val="21"/>
          <w:highlight w:val="none"/>
          <w:shd w:val="clear" w:color="auto" w:fill="auto"/>
          <w:lang w:val="en-US" w:eastAsia="zh-CN" w:bidi="ar"/>
        </w:rPr>
        <w:t>患者资料齐全及完整。</w:t>
      </w:r>
    </w:p>
    <w:p w14:paraId="297992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bCs w:val="0"/>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排除标准：</w:t>
      </w:r>
      <w:r>
        <w:rPr>
          <w:rFonts w:hint="eastAsia" w:ascii="Times New Roman" w:hAnsi="Times New Roman" w:eastAsia="宋体" w:cs="Times New Roman"/>
          <w:color w:val="auto"/>
          <w:kern w:val="2"/>
          <w:sz w:val="21"/>
          <w:szCs w:val="21"/>
          <w:highlight w:val="none"/>
          <w:shd w:val="clear" w:color="auto" w:fill="auto"/>
          <w:lang w:val="en-US" w:eastAsia="zh-CN" w:bidi="ar"/>
        </w:rPr>
        <w:t>（1）</w:t>
      </w:r>
      <w:r>
        <w:rPr>
          <w:rFonts w:hint="default" w:ascii="Times New Roman" w:hAnsi="Times New Roman" w:eastAsia="宋体" w:cs="Times New Roman"/>
          <w:color w:val="auto"/>
          <w:kern w:val="2"/>
          <w:sz w:val="21"/>
          <w:szCs w:val="21"/>
          <w:highlight w:val="none"/>
          <w:shd w:val="clear" w:color="auto" w:fill="auto"/>
          <w:lang w:val="en-US" w:eastAsia="zh-CN" w:bidi="ar"/>
        </w:rPr>
        <w:t>其他原因引起的偏瘫</w:t>
      </w:r>
      <w:r>
        <w:rPr>
          <w:rFonts w:hint="eastAsia" w:ascii="Times New Roman" w:hAnsi="Times New Roman" w:eastAsia="宋体" w:cs="Times New Roman"/>
          <w:color w:val="auto"/>
          <w:kern w:val="2"/>
          <w:sz w:val="21"/>
          <w:szCs w:val="21"/>
          <w:highlight w:val="none"/>
          <w:shd w:val="clear" w:color="auto" w:fill="auto"/>
          <w:lang w:val="en-US" w:eastAsia="zh-CN" w:bidi="ar"/>
        </w:rPr>
        <w:t>者</w:t>
      </w:r>
      <w:r>
        <w:rPr>
          <w:rFonts w:hint="default" w:ascii="Times New Roman" w:hAnsi="Times New Roman" w:eastAsia="宋体" w:cs="Times New Roman"/>
          <w:color w:val="auto"/>
          <w:kern w:val="2"/>
          <w:sz w:val="21"/>
          <w:szCs w:val="21"/>
          <w:highlight w:val="none"/>
          <w:shd w:val="clear" w:color="auto" w:fill="auto"/>
          <w:lang w:val="en-US" w:eastAsia="zh-CN" w:bidi="ar"/>
        </w:rPr>
        <w:t>；</w:t>
      </w:r>
      <w:r>
        <w:rPr>
          <w:rFonts w:hint="eastAsia" w:ascii="Times New Roman" w:hAnsi="Times New Roman" w:eastAsia="宋体" w:cs="Times New Roman"/>
          <w:color w:val="auto"/>
          <w:kern w:val="2"/>
          <w:sz w:val="21"/>
          <w:szCs w:val="21"/>
          <w:highlight w:val="none"/>
          <w:shd w:val="clear" w:color="auto" w:fill="auto"/>
          <w:lang w:val="en-US" w:eastAsia="zh-CN" w:bidi="ar"/>
        </w:rPr>
        <w:t>（2）存在</w:t>
      </w:r>
      <w:r>
        <w:rPr>
          <w:rFonts w:hint="default" w:ascii="Times New Roman" w:hAnsi="Times New Roman" w:eastAsia="宋体" w:cs="Times New Roman"/>
          <w:color w:val="auto"/>
          <w:kern w:val="2"/>
          <w:sz w:val="21"/>
          <w:szCs w:val="21"/>
          <w:highlight w:val="none"/>
          <w:shd w:val="clear" w:color="auto" w:fill="auto"/>
          <w:lang w:val="en-US" w:eastAsia="zh-CN" w:bidi="ar"/>
        </w:rPr>
        <w:t>认知障碍、无法配合治疗</w:t>
      </w:r>
      <w:r>
        <w:rPr>
          <w:rFonts w:hint="eastAsia" w:ascii="Times New Roman" w:hAnsi="Times New Roman" w:eastAsia="宋体" w:cs="Times New Roman"/>
          <w:color w:val="auto"/>
          <w:kern w:val="2"/>
          <w:sz w:val="21"/>
          <w:szCs w:val="21"/>
          <w:highlight w:val="none"/>
          <w:shd w:val="clear" w:color="auto" w:fill="auto"/>
          <w:lang w:val="en-US" w:eastAsia="zh-CN" w:bidi="ar"/>
        </w:rPr>
        <w:t>者</w:t>
      </w:r>
      <w:r>
        <w:rPr>
          <w:rFonts w:hint="default" w:ascii="Times New Roman" w:hAnsi="Times New Roman" w:eastAsia="宋体" w:cs="Times New Roman"/>
          <w:color w:val="auto"/>
          <w:kern w:val="2"/>
          <w:sz w:val="21"/>
          <w:szCs w:val="21"/>
          <w:highlight w:val="none"/>
          <w:shd w:val="clear" w:color="auto" w:fill="auto"/>
          <w:lang w:val="en-US" w:eastAsia="zh-CN" w:bidi="ar"/>
        </w:rPr>
        <w:t>；</w:t>
      </w:r>
      <w:r>
        <w:rPr>
          <w:rFonts w:hint="eastAsia" w:ascii="Times New Roman" w:hAnsi="Times New Roman" w:eastAsia="宋体" w:cs="Times New Roman"/>
          <w:color w:val="auto"/>
          <w:kern w:val="2"/>
          <w:sz w:val="21"/>
          <w:szCs w:val="21"/>
          <w:highlight w:val="none"/>
          <w:shd w:val="clear" w:color="auto" w:fill="auto"/>
          <w:lang w:val="en-US" w:eastAsia="zh-CN" w:bidi="ar"/>
        </w:rPr>
        <w:t>（3）</w:t>
      </w:r>
      <w:r>
        <w:rPr>
          <w:rFonts w:hint="default" w:ascii="Times New Roman" w:hAnsi="Times New Roman" w:eastAsia="宋体" w:cs="Times New Roman"/>
          <w:color w:val="auto"/>
          <w:kern w:val="2"/>
          <w:sz w:val="21"/>
          <w:szCs w:val="21"/>
          <w:highlight w:val="none"/>
          <w:shd w:val="clear" w:color="auto" w:fill="auto"/>
          <w:lang w:val="en-US" w:eastAsia="zh-CN" w:bidi="ar"/>
        </w:rPr>
        <w:t>存在电刺激禁忌证（如佩戴心脏起搏器、局部皮肤破损）；</w:t>
      </w:r>
      <w:r>
        <w:rPr>
          <w:rFonts w:hint="eastAsia" w:ascii="Times New Roman" w:hAnsi="Times New Roman" w:eastAsia="宋体" w:cs="Times New Roman"/>
          <w:color w:val="auto"/>
          <w:kern w:val="2"/>
          <w:sz w:val="21"/>
          <w:szCs w:val="21"/>
          <w:highlight w:val="none"/>
          <w:shd w:val="clear" w:color="auto" w:fill="auto"/>
          <w:lang w:val="en-US" w:eastAsia="zh-CN" w:bidi="ar"/>
        </w:rPr>
        <w:t>（4）</w:t>
      </w:r>
      <w:r>
        <w:rPr>
          <w:rFonts w:hint="default" w:ascii="Times New Roman" w:hAnsi="Times New Roman" w:eastAsia="宋体" w:cs="Times New Roman"/>
          <w:color w:val="auto"/>
          <w:kern w:val="2"/>
          <w:sz w:val="21"/>
          <w:szCs w:val="21"/>
          <w:highlight w:val="none"/>
          <w:shd w:val="clear" w:color="auto" w:fill="auto"/>
          <w:lang w:val="en-US" w:eastAsia="zh-CN" w:bidi="ar"/>
        </w:rPr>
        <w:t>合并肿瘤或感染性疾病</w:t>
      </w:r>
      <w:r>
        <w:rPr>
          <w:rFonts w:hint="eastAsia" w:ascii="Times New Roman" w:hAnsi="Times New Roman" w:eastAsia="宋体" w:cs="Times New Roman"/>
          <w:color w:val="auto"/>
          <w:kern w:val="2"/>
          <w:sz w:val="21"/>
          <w:szCs w:val="21"/>
          <w:highlight w:val="none"/>
          <w:shd w:val="clear" w:color="auto" w:fill="auto"/>
          <w:lang w:val="en-US" w:eastAsia="zh-CN" w:bidi="ar"/>
        </w:rPr>
        <w:t>者</w:t>
      </w:r>
      <w:r>
        <w:rPr>
          <w:rFonts w:hint="default" w:ascii="Times New Roman" w:hAnsi="Times New Roman" w:eastAsia="宋体" w:cs="Times New Roman"/>
          <w:color w:val="auto"/>
          <w:kern w:val="2"/>
          <w:sz w:val="21"/>
          <w:szCs w:val="21"/>
          <w:highlight w:val="none"/>
          <w:shd w:val="clear" w:color="auto" w:fill="auto"/>
          <w:lang w:val="en-US" w:eastAsia="zh-CN" w:bidi="ar"/>
        </w:rPr>
        <w:t>。</w:t>
      </w:r>
    </w:p>
    <w:p w14:paraId="5A57F7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color w:val="auto"/>
          <w:kern w:val="2"/>
          <w:sz w:val="21"/>
          <w:szCs w:val="21"/>
          <w:highlight w:val="none"/>
          <w:shd w:val="clear" w:color="auto" w:fill="auto"/>
          <w:lang w:val="en-US" w:eastAsia="zh-CN" w:bidi="ar"/>
        </w:rPr>
        <w:t>二、方法</w:t>
      </w:r>
      <w:bookmarkEnd w:id="38"/>
    </w:p>
    <w:p w14:paraId="095003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color w:val="auto"/>
          <w:kern w:val="2"/>
          <w:sz w:val="21"/>
          <w:szCs w:val="21"/>
          <w:highlight w:val="none"/>
          <w:shd w:val="clear" w:color="auto" w:fill="auto"/>
          <w:lang w:val="en-US" w:eastAsia="zh-CN" w:bidi="ar"/>
        </w:rPr>
        <w:t>（一）样本量计算</w:t>
      </w:r>
      <w:bookmarkEnd w:id="39"/>
    </w:p>
    <w:p w14:paraId="39A314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olor w:val="auto"/>
          <w:sz w:val="21"/>
          <w:highlight w:val="none"/>
          <w:shd w:val="clear" w:color="auto" w:fill="auto"/>
          <w:lang w:val="en-US" w:eastAsia="zh-CN"/>
        </w:rPr>
      </w:pPr>
      <w:r>
        <w:rPr>
          <w:rFonts w:hint="default" w:ascii="Times New Roman" w:hAnsi="Times New Roman" w:eastAsia="宋体" w:cs="Times New Roman"/>
          <w:color w:val="auto"/>
          <w:kern w:val="2"/>
          <w:sz w:val="21"/>
          <w:szCs w:val="21"/>
          <w:highlight w:val="none"/>
          <w:shd w:val="clear" w:color="auto" w:fill="auto"/>
          <w:lang w:val="en-US" w:eastAsia="zh-CN" w:bidi="ar"/>
        </w:rPr>
        <w:t>基于预实验</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Fugl-Meyer评估上肢部分（Fugl-Meyer assessment</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-UA</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bookmarkEnd w:id="40"/>
      <w:r>
        <w:rPr>
          <w:rFonts w:hint="default" w:ascii="Times New Roman" w:hAnsi="Times New Roman" w:eastAsia="宋体" w:cs="Times New Roman"/>
          <w:b w:val="0"/>
          <w:bCs/>
          <w:color w:val="auto"/>
          <w:kern w:val="2"/>
          <w:sz w:val="21"/>
          <w:szCs w:val="21"/>
          <w:highlight w:val="none"/>
          <w:shd w:val="clear" w:color="auto" w:fill="auto"/>
          <w:lang w:val="en-US" w:eastAsia="zh-CN" w:bidi="ar"/>
        </w:rPr>
        <w:t>FMA</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-UA</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评分预期改善差异（</w:t>
      </w:r>
      <w:r>
        <w:rPr>
          <w:rFonts w:hint="default" w:ascii="Times New Roman" w:hAnsi="Times New Roman" w:eastAsia="宋体" w:cs="Times New Roman"/>
          <w:color w:val="auto"/>
          <w:sz w:val="21"/>
          <w:szCs w:val="21"/>
          <w:highlight w:val="none"/>
          <w:shd w:val="clear" w:color="auto" w:fill="auto"/>
          <w:lang w:eastAsia="zh-CN"/>
        </w:rPr>
        <w:t>σ</w:t>
      </w:r>
      <w:r>
        <w:rPr>
          <w:rFonts w:hint="default" w:ascii="Times New Roman" w:hAnsi="Times New Roman" w:eastAsia="宋体" w:cs="Times New Roman"/>
          <w:color w:val="auto"/>
          <w:sz w:val="21"/>
          <w:szCs w:val="21"/>
          <w:highlight w:val="none"/>
          <w:shd w:val="clear" w:color="auto" w:fill="auto"/>
          <w:lang w:val="en-US" w:eastAsia="zh-CN"/>
        </w:rPr>
        <w:t>=6.1，</w:t>
      </w:r>
      <w:r>
        <w:rPr>
          <w:rFonts w:hint="default" w:ascii="Times New Roman" w:hAnsi="Times New Roman" w:eastAsia="宋体" w:cs="Times New Roman"/>
          <w:color w:val="auto"/>
          <w:sz w:val="21"/>
          <w:szCs w:val="21"/>
          <w:highlight w:val="none"/>
          <w:shd w:val="clear" w:color="auto" w:fill="auto"/>
          <w:lang w:eastAsia="zh-CN"/>
        </w:rPr>
        <w:t>Δ</w:t>
      </w:r>
      <w:r>
        <w:rPr>
          <w:rFonts w:hint="default" w:ascii="Times New Roman" w:hAnsi="Times New Roman" w:eastAsia="宋体" w:cs="Times New Roman"/>
          <w:color w:val="auto"/>
          <w:sz w:val="21"/>
          <w:szCs w:val="21"/>
          <w:highlight w:val="none"/>
          <w:shd w:val="clear" w:color="auto" w:fill="auto"/>
          <w:lang w:val="en-US" w:eastAsia="zh-CN"/>
        </w:rPr>
        <w:t>=5.2</w:t>
      </w:r>
      <w:r>
        <w:rPr>
          <w:rFonts w:hint="default" w:ascii="Times New Roman" w:hAnsi="Times New Roman" w:eastAsia="宋体" w:cs="Times New Roman"/>
          <w:color w:val="auto"/>
          <w:kern w:val="2"/>
          <w:sz w:val="21"/>
          <w:szCs w:val="21"/>
          <w:highlight w:val="none"/>
          <w:shd w:val="clear" w:color="auto" w:fill="auto"/>
          <w:lang w:val="en-US" w:eastAsia="zh-CN" w:bidi="ar"/>
        </w:rPr>
        <w:t>）</w:t>
      </w:r>
      <w:r>
        <w:rPr>
          <w:rFonts w:hint="eastAsia" w:ascii="Times New Roman" w:hAnsi="Times New Roman" w:eastAsia="宋体" w:cs="Times New Roman"/>
          <w:color w:val="auto"/>
          <w:kern w:val="2"/>
          <w:sz w:val="21"/>
          <w:szCs w:val="21"/>
          <w:highlight w:val="none"/>
          <w:shd w:val="clear" w:color="auto" w:fill="auto"/>
          <w:vertAlign w:val="superscript"/>
          <w:lang w:val="en-US" w:eastAsia="zh-CN" w:bidi="ar"/>
        </w:rPr>
        <w:t>[10]</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采用两独立样本</w:t>
      </w:r>
      <w:r>
        <w:rPr>
          <w:rFonts w:hint="default" w:ascii="Times New Roman" w:hAnsi="Times New Roman" w:eastAsia="宋体" w:cs="Times New Roman"/>
          <w:i/>
          <w:iCs/>
          <w:color w:val="auto"/>
          <w:kern w:val="2"/>
          <w:sz w:val="21"/>
          <w:szCs w:val="21"/>
          <w:highlight w:val="none"/>
          <w:shd w:val="clear" w:color="auto" w:fill="auto"/>
          <w:lang w:val="en-US" w:eastAsia="zh-CN" w:bidi="ar"/>
        </w:rPr>
        <w:t>t</w:t>
      </w:r>
      <w:r>
        <w:rPr>
          <w:rFonts w:hint="default" w:ascii="Times New Roman" w:hAnsi="Times New Roman" w:eastAsia="宋体" w:cs="Times New Roman"/>
          <w:color w:val="auto"/>
          <w:kern w:val="2"/>
          <w:sz w:val="21"/>
          <w:szCs w:val="21"/>
          <w:highlight w:val="none"/>
          <w:shd w:val="clear" w:color="auto" w:fill="auto"/>
          <w:lang w:val="en-US" w:eastAsia="zh-CN" w:bidi="ar"/>
        </w:rPr>
        <w:t>检验公式</w:t>
      </w:r>
      <w:r>
        <w:rPr>
          <w:rFonts w:ascii="Times New Roman" w:hAnsi="Times New Roman" w:eastAsia="宋体"/>
          <w:color w:val="auto"/>
          <w:sz w:val="21"/>
          <w:highlight w:val="none"/>
          <w:shd w:val="clear" w:color="auto" w:fill="auto"/>
        </w:rPr>
        <w:t>计算样本量</w:t>
      </w:r>
      <w:r>
        <w:rPr>
          <w:rFonts w:hint="eastAsia" w:ascii="Times New Roman" w:hAnsi="Times New Roman" w:eastAsia="宋体"/>
          <w:color w:val="auto"/>
          <w:sz w:val="21"/>
          <w:highlight w:val="none"/>
          <w:shd w:val="clear" w:color="auto" w:fill="auto"/>
          <w:lang w:eastAsia="zh-CN"/>
        </w:rPr>
        <w:t>。</w:t>
      </w:r>
      <w:r>
        <w:rPr>
          <w:rFonts w:ascii="Times New Roman" w:hAnsi="Times New Roman" w:eastAsia="宋体"/>
          <w:color w:val="auto"/>
          <w:sz w:val="21"/>
          <w:highlight w:val="none"/>
          <w:shd w:val="clear" w:color="auto" w:fill="auto"/>
        </w:rPr>
        <w:t>样本量</w:t>
      </w:r>
      <w:r>
        <w:rPr>
          <w:rFonts w:hint="eastAsia" w:ascii="Times New Roman" w:hAnsi="Times New Roman" w:eastAsia="宋体"/>
          <w:color w:val="auto"/>
          <w:sz w:val="21"/>
          <w:highlight w:val="none"/>
          <w:shd w:val="clear" w:color="auto" w:fill="auto"/>
          <w:lang w:eastAsia="zh-CN"/>
        </w:rPr>
        <w:t>的计算方法如公式（1）所示。</w:t>
      </w:r>
    </w:p>
    <w:p w14:paraId="649B8B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sz w:val="21"/>
          <w:szCs w:val="21"/>
          <w:highlight w:val="none"/>
          <w:shd w:val="clear" w:color="auto" w:fill="auto"/>
          <w:vertAlign w:val="superscript"/>
          <w:lang w:val="en-US" w:eastAsia="zh-CN"/>
        </w:rPr>
      </w:pPr>
      <w:r>
        <w:rPr>
          <w:rFonts w:hint="default" w:ascii="Times New Roman" w:hAnsi="Times New Roman" w:eastAsia="宋体" w:cs="Times New Roman"/>
          <w:i/>
          <w:iCs/>
          <w:color w:val="auto"/>
          <w:sz w:val="21"/>
          <w:szCs w:val="21"/>
          <w:highlight w:val="none"/>
          <w:shd w:val="clear" w:color="auto" w:fill="auto"/>
          <w:lang w:val="en-US" w:eastAsia="zh-CN"/>
        </w:rPr>
        <w:t>n</w:t>
      </w:r>
      <w:r>
        <w:rPr>
          <w:rFonts w:hint="default" w:ascii="Times New Roman" w:hAnsi="Times New Roman" w:eastAsia="宋体" w:cs="Times New Roman"/>
          <w:color w:val="auto"/>
          <w:sz w:val="21"/>
          <w:szCs w:val="21"/>
          <w:highlight w:val="none"/>
          <w:shd w:val="clear" w:color="auto" w:fill="auto"/>
          <w:lang w:val="en-US" w:eastAsia="zh-CN"/>
        </w:rPr>
        <w:t>=2</w:t>
      </w:r>
      <w:r>
        <w:rPr>
          <w:rFonts w:hint="eastAsia" w:ascii="Times New Roman" w:hAnsi="Times New Roman" w:eastAsia="宋体" w:cs="Times New Roman"/>
          <w:color w:val="auto"/>
          <w:sz w:val="21"/>
          <w:szCs w:val="21"/>
          <w:highlight w:val="none"/>
          <w:shd w:val="clear" w:color="auto" w:fill="auto"/>
          <w:lang w:val="en-US" w:eastAsia="zh-CN"/>
        </w:rPr>
        <w:t>（</w:t>
      </w:r>
      <w:bookmarkEnd w:id="41"/>
      <w:r>
        <w:rPr>
          <w:rFonts w:hint="default" w:ascii="Times New Roman" w:hAnsi="Times New Roman" w:eastAsia="宋体" w:cs="Times New Roman"/>
          <w:i/>
          <w:iCs/>
          <w:color w:val="auto"/>
          <w:sz w:val="21"/>
          <w:szCs w:val="21"/>
          <w:highlight w:val="none"/>
          <w:shd w:val="clear" w:color="auto" w:fill="auto"/>
          <w:lang w:val="en-US" w:eastAsia="zh-CN"/>
        </w:rPr>
        <w:t>Z</w:t>
      </w:r>
      <w:r>
        <w:rPr>
          <w:rFonts w:hint="default" w:ascii="Times New Roman" w:hAnsi="Times New Roman" w:eastAsia="宋体" w:cs="Times New Roman"/>
          <w:color w:val="auto"/>
          <w:sz w:val="21"/>
          <w:szCs w:val="21"/>
          <w:highlight w:val="none"/>
          <w:shd w:val="clear" w:color="auto" w:fill="auto"/>
          <w:vertAlign w:val="subscript"/>
          <w:lang w:val="en-US" w:eastAsia="zh-CN"/>
        </w:rPr>
        <w:t>α/2</w:t>
      </w:r>
      <w:r>
        <w:rPr>
          <w:rFonts w:hint="default" w:ascii="Times New Roman" w:hAnsi="Times New Roman" w:eastAsia="宋体" w:cs="Times New Roman"/>
          <w:color w:val="auto"/>
          <w:sz w:val="21"/>
          <w:szCs w:val="21"/>
          <w:highlight w:val="none"/>
          <w:shd w:val="clear" w:color="auto" w:fill="auto"/>
          <w:lang w:val="en-US" w:eastAsia="zh-CN"/>
        </w:rPr>
        <w:t>+</w:t>
      </w:r>
      <w:r>
        <w:rPr>
          <w:rFonts w:hint="default" w:ascii="Times New Roman" w:hAnsi="Times New Roman" w:eastAsia="宋体" w:cs="Times New Roman"/>
          <w:i/>
          <w:iCs/>
          <w:color w:val="auto"/>
          <w:sz w:val="21"/>
          <w:szCs w:val="21"/>
          <w:highlight w:val="none"/>
          <w:shd w:val="clear" w:color="auto" w:fill="auto"/>
          <w:lang w:val="en-US" w:eastAsia="zh-CN"/>
        </w:rPr>
        <w:t>Z</w:t>
      </w:r>
      <w:r>
        <w:rPr>
          <w:rFonts w:hint="default" w:ascii="Times New Roman" w:hAnsi="Times New Roman" w:eastAsia="宋体" w:cs="Times New Roman"/>
          <w:color w:val="auto"/>
          <w:sz w:val="21"/>
          <w:szCs w:val="21"/>
          <w:highlight w:val="none"/>
          <w:shd w:val="clear" w:color="auto" w:fill="auto"/>
          <w:vertAlign w:val="subscript"/>
          <w:lang w:val="en-US" w:eastAsia="zh-CN"/>
        </w:rPr>
        <w:t>β</w:t>
      </w:r>
      <w:r>
        <w:rPr>
          <w:rFonts w:hint="eastAsia" w:ascii="Times New Roman" w:hAnsi="Times New Roman" w:eastAsia="宋体" w:cs="Times New Roman"/>
          <w:color w:val="auto"/>
          <w:sz w:val="21"/>
          <w:szCs w:val="21"/>
          <w:highlight w:val="none"/>
          <w:shd w:val="clear" w:color="auto" w:fill="auto"/>
          <w:lang w:val="en-US" w:eastAsia="zh-CN"/>
        </w:rPr>
        <w:t>）</w:t>
      </w:r>
      <w:bookmarkEnd w:id="42"/>
      <w:r>
        <w:rPr>
          <w:rFonts w:hint="default" w:ascii="Times New Roman" w:hAnsi="Times New Roman" w:eastAsia="宋体" w:cs="Times New Roman"/>
          <w:color w:val="auto"/>
          <w:sz w:val="21"/>
          <w:szCs w:val="21"/>
          <w:highlight w:val="none"/>
          <w:shd w:val="clear" w:color="auto" w:fill="auto"/>
          <w:vertAlign w:val="superscript"/>
          <w:lang w:val="en-US" w:eastAsia="zh-CN"/>
        </w:rPr>
        <w:t>2</w:t>
      </w:r>
      <w:r>
        <w:rPr>
          <w:rFonts w:hint="default" w:ascii="Times New Roman" w:hAnsi="Times New Roman" w:eastAsia="宋体" w:cs="Times New Roman"/>
          <w:color w:val="auto"/>
          <w:sz w:val="21"/>
          <w:szCs w:val="21"/>
          <w:highlight w:val="none"/>
          <w:shd w:val="clear" w:color="auto" w:fill="auto"/>
          <w:lang w:eastAsia="zh-CN"/>
        </w:rPr>
        <w:t>σ</w:t>
      </w:r>
      <w:r>
        <w:rPr>
          <w:rFonts w:hint="default" w:ascii="Times New Roman" w:hAnsi="Times New Roman" w:eastAsia="宋体" w:cs="Times New Roman"/>
          <w:color w:val="auto"/>
          <w:sz w:val="21"/>
          <w:szCs w:val="21"/>
          <w:highlight w:val="none"/>
          <w:shd w:val="clear" w:color="auto" w:fill="auto"/>
          <w:vertAlign w:val="superscript"/>
          <w:lang w:val="en-US" w:eastAsia="zh-CN"/>
        </w:rPr>
        <w:t>2</w:t>
      </w:r>
      <w:r>
        <w:rPr>
          <w:rFonts w:hint="default" w:ascii="Times New Roman" w:hAnsi="Times New Roman" w:eastAsia="宋体"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eastAsia="zh-CN"/>
        </w:rPr>
        <w:t>Δ</w:t>
      </w:r>
      <w:r>
        <w:rPr>
          <w:rFonts w:hint="default" w:ascii="Times New Roman" w:hAnsi="Times New Roman" w:eastAsia="宋体" w:cs="Times New Roman"/>
          <w:color w:val="auto"/>
          <w:sz w:val="21"/>
          <w:szCs w:val="21"/>
          <w:highlight w:val="none"/>
          <w:shd w:val="clear" w:color="auto" w:fill="auto"/>
          <w:vertAlign w:val="superscript"/>
          <w:lang w:val="en-US" w:eastAsia="zh-CN"/>
        </w:rPr>
        <w:t>2</w:t>
      </w:r>
      <w:r>
        <w:rPr>
          <w:rFonts w:hint="eastAsia" w:ascii="Times New Roman" w:hAnsi="Times New Roman" w:eastAsia="宋体"/>
          <w:color w:val="auto"/>
          <w:sz w:val="21"/>
          <w:highlight w:val="none"/>
          <w:shd w:val="clear" w:color="auto" w:fill="auto"/>
          <w:lang w:val="en-US" w:eastAsia="zh-CN"/>
        </w:rPr>
        <w:t xml:space="preserve">                                       </w:t>
      </w:r>
      <w:r>
        <w:rPr>
          <w:rFonts w:hint="eastAsia" w:ascii="Times New Roman" w:hAnsi="Times New Roman" w:eastAsia="宋体"/>
          <w:color w:val="auto"/>
          <w:sz w:val="21"/>
          <w:highlight w:val="none"/>
          <w:shd w:val="clear" w:color="auto" w:fill="auto"/>
          <w:lang w:eastAsia="zh-CN"/>
        </w:rPr>
        <w:t>（</w:t>
      </w:r>
      <w:bookmarkEnd w:id="43"/>
      <w:r>
        <w:rPr>
          <w:rFonts w:hint="eastAsia" w:ascii="Times New Roman" w:hAnsi="Times New Roman" w:eastAsia="宋体"/>
          <w:color w:val="auto"/>
          <w:sz w:val="21"/>
          <w:highlight w:val="none"/>
          <w:shd w:val="clear" w:color="auto" w:fill="auto"/>
          <w:lang w:eastAsia="zh-CN"/>
        </w:rPr>
        <w:t>1）</w:t>
      </w:r>
      <w:bookmarkEnd w:id="44"/>
      <w:bookmarkEnd w:id="45"/>
    </w:p>
    <w:p w14:paraId="70C5BF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sz w:val="21"/>
          <w:highlight w:val="none"/>
          <w:shd w:val="clear" w:color="auto" w:fill="auto"/>
          <w:lang w:val="en-US" w:eastAsia="zh-CN"/>
        </w:rPr>
        <w:t>式中，</w:t>
      </w:r>
      <w:r>
        <w:rPr>
          <w:rFonts w:hint="default" w:ascii="Times New Roman" w:hAnsi="Times New Roman" w:eastAsia="宋体" w:cs="Times New Roman"/>
          <w:i/>
          <w:iCs/>
          <w:color w:val="auto"/>
          <w:sz w:val="21"/>
          <w:highlight w:val="none"/>
          <w:shd w:val="clear" w:color="auto" w:fill="auto"/>
          <w:lang w:val="en-US" w:eastAsia="zh-CN"/>
        </w:rPr>
        <w:t>Z</w:t>
      </w:r>
      <w:r>
        <w:rPr>
          <w:rFonts w:hint="default" w:ascii="Times New Roman" w:hAnsi="Times New Roman" w:eastAsia="宋体" w:cs="Times New Roman"/>
          <w:color w:val="auto"/>
          <w:sz w:val="21"/>
          <w:highlight w:val="none"/>
          <w:shd w:val="clear" w:color="auto" w:fill="auto"/>
          <w:vertAlign w:val="subscript"/>
          <w:lang w:val="en-US" w:eastAsia="zh-CN"/>
        </w:rPr>
        <w:t>α/2</w:t>
      </w:r>
      <w:r>
        <w:rPr>
          <w:rFonts w:hint="default" w:ascii="Times New Roman" w:hAnsi="Times New Roman" w:eastAsia="宋体" w:cs="Times New Roman"/>
          <w:color w:val="auto"/>
          <w:sz w:val="21"/>
          <w:highlight w:val="none"/>
          <w:shd w:val="clear" w:color="auto" w:fill="auto"/>
          <w:lang w:val="en-US" w:eastAsia="zh-CN"/>
        </w:rPr>
        <w:t>为检验水准对应的标准正态分位数（双侧），</w:t>
      </w:r>
      <w:r>
        <w:rPr>
          <w:rFonts w:hint="default" w:ascii="Times New Roman" w:hAnsi="Times New Roman" w:eastAsia="宋体" w:cs="Times New Roman"/>
          <w:i/>
          <w:iCs/>
          <w:color w:val="auto"/>
          <w:sz w:val="21"/>
          <w:highlight w:val="none"/>
          <w:shd w:val="clear" w:color="auto" w:fill="auto"/>
          <w:lang w:val="en-US" w:eastAsia="zh-CN"/>
        </w:rPr>
        <w:t>Z</w:t>
      </w:r>
      <w:r>
        <w:rPr>
          <w:rFonts w:hint="default" w:ascii="Times New Roman" w:hAnsi="Times New Roman" w:eastAsia="宋体" w:cs="Times New Roman"/>
          <w:color w:val="auto"/>
          <w:sz w:val="21"/>
          <w:highlight w:val="none"/>
          <w:shd w:val="clear" w:color="auto" w:fill="auto"/>
          <w:vertAlign w:val="subscript"/>
          <w:lang w:val="en-US" w:eastAsia="zh-CN"/>
        </w:rPr>
        <w:t>β</w:t>
      </w:r>
      <w:r>
        <w:rPr>
          <w:rFonts w:hint="default" w:ascii="Times New Roman" w:hAnsi="Times New Roman" w:eastAsia="宋体" w:cs="Times New Roman"/>
          <w:color w:val="auto"/>
          <w:sz w:val="21"/>
          <w:highlight w:val="none"/>
          <w:shd w:val="clear" w:color="auto" w:fill="auto"/>
          <w:lang w:val="en-US" w:eastAsia="zh-CN"/>
        </w:rPr>
        <w:t>为检验效能对应的标准正态分位数，σ为</w:t>
      </w:r>
      <w:r>
        <w:rPr>
          <w:rFonts w:hint="eastAsia" w:ascii="Times New Roman" w:hAnsi="Times New Roman" w:eastAsia="宋体" w:cs="Times New Roman"/>
          <w:color w:val="auto"/>
          <w:sz w:val="21"/>
          <w:highlight w:val="none"/>
          <w:shd w:val="clear" w:color="auto" w:fill="auto"/>
          <w:lang w:val="en-US" w:eastAsia="zh-CN"/>
        </w:rPr>
        <w:t>2组</w:t>
      </w:r>
      <w:r>
        <w:rPr>
          <w:rFonts w:hint="default" w:ascii="Times New Roman" w:hAnsi="Times New Roman" w:eastAsia="宋体" w:cs="Times New Roman"/>
          <w:color w:val="auto"/>
          <w:sz w:val="21"/>
          <w:highlight w:val="none"/>
          <w:shd w:val="clear" w:color="auto" w:fill="auto"/>
          <w:lang w:val="en-US" w:eastAsia="zh-CN"/>
        </w:rPr>
        <w:t>合并标准差，Δ为</w:t>
      </w:r>
      <w:r>
        <w:rPr>
          <w:rFonts w:hint="eastAsia" w:ascii="Times New Roman" w:hAnsi="Times New Roman" w:eastAsia="宋体" w:cs="Times New Roman"/>
          <w:color w:val="auto"/>
          <w:sz w:val="21"/>
          <w:highlight w:val="none"/>
          <w:shd w:val="clear" w:color="auto" w:fill="auto"/>
          <w:lang w:val="en-US" w:eastAsia="zh-CN"/>
        </w:rPr>
        <w:t>2组</w:t>
      </w:r>
      <w:r>
        <w:rPr>
          <w:rFonts w:hint="default" w:ascii="Times New Roman" w:hAnsi="Times New Roman" w:eastAsia="宋体" w:cs="Times New Roman"/>
          <w:color w:val="auto"/>
          <w:sz w:val="21"/>
          <w:highlight w:val="none"/>
          <w:shd w:val="clear" w:color="auto" w:fill="auto"/>
          <w:lang w:val="en-US" w:eastAsia="zh-CN"/>
        </w:rPr>
        <w:t>预期均值差。</w:t>
      </w:r>
      <w:r>
        <w:rPr>
          <w:rFonts w:hint="default" w:ascii="Times New Roman" w:hAnsi="Times New Roman" w:eastAsia="宋体" w:cs="Times New Roman"/>
          <w:color w:val="auto"/>
          <w:sz w:val="21"/>
          <w:szCs w:val="21"/>
          <w:highlight w:val="none"/>
          <w:shd w:val="clear" w:color="auto" w:fill="auto"/>
          <w:lang w:eastAsia="zh-CN"/>
        </w:rPr>
        <w:t>取α=0.05，β=0.</w:t>
      </w:r>
      <w:r>
        <w:rPr>
          <w:rFonts w:hint="default" w:ascii="Times New Roman" w:hAnsi="Times New Roman" w:eastAsia="宋体" w:cs="Times New Roman"/>
          <w:color w:val="auto"/>
          <w:sz w:val="21"/>
          <w:szCs w:val="21"/>
          <w:highlight w:val="none"/>
          <w:shd w:val="clear" w:color="auto" w:fill="auto"/>
          <w:lang w:val="en-US" w:eastAsia="zh-CN"/>
        </w:rPr>
        <w:t>2</w:t>
      </w:r>
      <w:r>
        <w:rPr>
          <w:rFonts w:hint="default" w:ascii="Times New Roman" w:hAnsi="Times New Roman" w:eastAsia="宋体" w:cs="Times New Roman"/>
          <w:color w:val="auto"/>
          <w:sz w:val="21"/>
          <w:szCs w:val="21"/>
          <w:highlight w:val="none"/>
          <w:shd w:val="clear" w:color="auto" w:fill="auto"/>
          <w:lang w:eastAsia="zh-CN"/>
        </w:rPr>
        <w:t>，</w:t>
      </w:r>
      <w:r>
        <w:rPr>
          <w:rFonts w:hint="default" w:ascii="Times New Roman" w:hAnsi="Times New Roman" w:eastAsia="宋体" w:cs="Times New Roman"/>
          <w:i/>
          <w:iCs/>
          <w:color w:val="auto"/>
          <w:sz w:val="21"/>
          <w:szCs w:val="21"/>
          <w:highlight w:val="none"/>
          <w:shd w:val="clear" w:color="auto" w:fill="auto"/>
          <w:lang w:eastAsia="zh-CN"/>
        </w:rPr>
        <w:t>Z</w:t>
      </w:r>
      <w:r>
        <w:rPr>
          <w:rFonts w:hint="default" w:ascii="Times New Roman" w:hAnsi="Times New Roman" w:eastAsia="宋体" w:cs="Times New Roman"/>
          <w:color w:val="auto"/>
          <w:sz w:val="21"/>
          <w:szCs w:val="21"/>
          <w:highlight w:val="none"/>
          <w:shd w:val="clear" w:color="auto" w:fill="auto"/>
          <w:vertAlign w:val="subscript"/>
          <w:lang w:eastAsia="zh-CN"/>
        </w:rPr>
        <w:t>α/2</w:t>
      </w:r>
      <w:r>
        <w:rPr>
          <w:rFonts w:hint="default" w:ascii="Times New Roman" w:hAnsi="Times New Roman" w:eastAsia="宋体" w:cs="Times New Roman"/>
          <w:color w:val="auto"/>
          <w:sz w:val="21"/>
          <w:szCs w:val="21"/>
          <w:highlight w:val="none"/>
          <w:shd w:val="clear" w:color="auto" w:fill="auto"/>
          <w:lang w:eastAsia="zh-CN"/>
        </w:rPr>
        <w:t>=1.96</w:t>
      </w:r>
      <w:r>
        <w:rPr>
          <w:rFonts w:hint="eastAsia" w:ascii="Times New Roman" w:hAnsi="Times New Roman" w:eastAsia="宋体" w:cs="Times New Roman"/>
          <w:color w:val="auto"/>
          <w:sz w:val="21"/>
          <w:szCs w:val="21"/>
          <w:highlight w:val="none"/>
          <w:shd w:val="clear" w:color="auto" w:fill="auto"/>
          <w:lang w:val="en-US" w:eastAsia="zh-CN"/>
        </w:rPr>
        <w:t>0</w:t>
      </w:r>
      <w:r>
        <w:rPr>
          <w:rFonts w:hint="default" w:ascii="Times New Roman" w:hAnsi="Times New Roman" w:eastAsia="宋体" w:cs="Times New Roman"/>
          <w:color w:val="auto"/>
          <w:sz w:val="21"/>
          <w:szCs w:val="21"/>
          <w:highlight w:val="none"/>
          <w:shd w:val="clear" w:color="auto" w:fill="auto"/>
          <w:lang w:eastAsia="zh-CN"/>
        </w:rPr>
        <w:t>，</w:t>
      </w:r>
      <w:r>
        <w:rPr>
          <w:rFonts w:hint="default" w:ascii="Times New Roman" w:hAnsi="Times New Roman" w:eastAsia="宋体" w:cs="Times New Roman"/>
          <w:i/>
          <w:iCs/>
          <w:color w:val="auto"/>
          <w:sz w:val="21"/>
          <w:szCs w:val="21"/>
          <w:highlight w:val="none"/>
          <w:shd w:val="clear" w:color="auto" w:fill="auto"/>
          <w:lang w:eastAsia="zh-CN"/>
        </w:rPr>
        <w:t>Z</w:t>
      </w:r>
      <w:r>
        <w:rPr>
          <w:rFonts w:hint="default" w:ascii="Times New Roman" w:hAnsi="Times New Roman" w:eastAsia="宋体" w:cs="Times New Roman"/>
          <w:color w:val="auto"/>
          <w:sz w:val="21"/>
          <w:szCs w:val="21"/>
          <w:highlight w:val="none"/>
          <w:shd w:val="clear" w:color="auto" w:fill="auto"/>
          <w:vertAlign w:val="subscript"/>
          <w:lang w:eastAsia="zh-CN"/>
        </w:rPr>
        <w:t>β</w:t>
      </w:r>
      <w:r>
        <w:rPr>
          <w:rFonts w:hint="default" w:ascii="Times New Roman" w:hAnsi="Times New Roman" w:eastAsia="宋体"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lang w:val="en-US" w:eastAsia="zh-CN"/>
        </w:rPr>
        <w:t>0.842</w:t>
      </w:r>
      <w:r>
        <w:rPr>
          <w:rFonts w:hint="default" w:ascii="Times New Roman" w:hAnsi="Times New Roman" w:eastAsia="宋体" w:cs="Times New Roman"/>
          <w:color w:val="auto"/>
          <w:sz w:val="21"/>
          <w:szCs w:val="21"/>
          <w:highlight w:val="none"/>
          <w:shd w:val="clear" w:color="auto" w:fill="auto"/>
          <w:lang w:eastAsia="zh-CN"/>
        </w:rPr>
        <w:t>，代入σ</w:t>
      </w:r>
      <w:r>
        <w:rPr>
          <w:rFonts w:hint="default" w:ascii="Times New Roman" w:hAnsi="Times New Roman" w:eastAsia="宋体" w:cs="Times New Roman"/>
          <w:color w:val="auto"/>
          <w:sz w:val="21"/>
          <w:szCs w:val="21"/>
          <w:highlight w:val="none"/>
          <w:shd w:val="clear" w:color="auto" w:fill="auto"/>
          <w:lang w:val="en-US" w:eastAsia="zh-CN"/>
        </w:rPr>
        <w:t>=6.1，</w:t>
      </w:r>
      <w:r>
        <w:rPr>
          <w:rFonts w:hint="default" w:ascii="Times New Roman" w:hAnsi="Times New Roman" w:eastAsia="宋体" w:cs="Times New Roman"/>
          <w:color w:val="auto"/>
          <w:sz w:val="21"/>
          <w:szCs w:val="21"/>
          <w:highlight w:val="none"/>
          <w:shd w:val="clear" w:color="auto" w:fill="auto"/>
          <w:lang w:eastAsia="zh-CN"/>
        </w:rPr>
        <w:t>Δ</w:t>
      </w:r>
      <w:r>
        <w:rPr>
          <w:rFonts w:hint="default" w:ascii="Times New Roman" w:hAnsi="Times New Roman" w:eastAsia="宋体" w:cs="Times New Roman"/>
          <w:color w:val="auto"/>
          <w:sz w:val="21"/>
          <w:szCs w:val="21"/>
          <w:highlight w:val="none"/>
          <w:shd w:val="clear" w:color="auto" w:fill="auto"/>
          <w:lang w:val="en-US" w:eastAsia="zh-CN"/>
        </w:rPr>
        <w:t>=5.2，计算</w:t>
      </w:r>
      <w:r>
        <w:rPr>
          <w:rFonts w:hint="default" w:ascii="Times New Roman" w:hAnsi="Times New Roman" w:eastAsia="宋体" w:cs="Times New Roman"/>
          <w:color w:val="auto"/>
          <w:sz w:val="21"/>
          <w:szCs w:val="21"/>
          <w:highlight w:val="none"/>
          <w:shd w:val="clear" w:color="auto" w:fill="auto"/>
          <w:lang w:eastAsia="zh-CN"/>
        </w:rPr>
        <w:t>得</w:t>
      </w:r>
      <w:r>
        <w:rPr>
          <w:rFonts w:hint="default" w:ascii="Times New Roman" w:hAnsi="Times New Roman" w:eastAsia="宋体" w:cs="Times New Roman"/>
          <w:color w:val="auto"/>
          <w:sz w:val="21"/>
          <w:szCs w:val="21"/>
          <w:highlight w:val="none"/>
          <w:shd w:val="clear" w:color="auto" w:fill="auto"/>
          <w:lang w:val="en-US" w:eastAsia="zh-CN"/>
        </w:rPr>
        <w:t>出每组样本量22例。为达到更高的检验效能（Power&gt;0.9），并充分考虑本研究为多指标分析及可能存在的脱落风险，</w:t>
      </w:r>
      <w:r>
        <w:rPr>
          <w:rFonts w:hint="default" w:ascii="Times New Roman" w:hAnsi="Times New Roman" w:eastAsia="宋体" w:cs="Times New Roman"/>
          <w:i w:val="0"/>
          <w:iCs w:val="0"/>
          <w:caps w:val="0"/>
          <w:color w:val="0000FF"/>
          <w:spacing w:val="0"/>
          <w:sz w:val="21"/>
          <w:szCs w:val="21"/>
          <w:highlight w:val="none"/>
          <w:shd w:val="clear" w:color="auto" w:fill="auto"/>
        </w:rPr>
        <w:t>经计算后考虑15%的脱落率，</w:t>
      </w:r>
      <w:r>
        <w:rPr>
          <w:rFonts w:hint="default" w:ascii="Times New Roman" w:hAnsi="Times New Roman" w:eastAsia="宋体" w:cs="Times New Roman"/>
          <w:i/>
          <w:iCs/>
          <w:caps w:val="0"/>
          <w:color w:val="0000FF"/>
          <w:spacing w:val="0"/>
          <w:sz w:val="21"/>
          <w:szCs w:val="21"/>
          <w:highlight w:val="none"/>
          <w:shd w:val="clear" w:color="auto" w:fill="auto"/>
        </w:rPr>
        <w:t>n</w:t>
      </w:r>
      <w:r>
        <w:rPr>
          <w:rFonts w:hint="default" w:ascii="Times New Roman" w:hAnsi="Times New Roman" w:eastAsia="宋体" w:cs="Times New Roman"/>
          <w:i w:val="0"/>
          <w:iCs w:val="0"/>
          <w:caps w:val="0"/>
          <w:color w:val="0000FF"/>
          <w:spacing w:val="0"/>
          <w:sz w:val="21"/>
          <w:szCs w:val="21"/>
          <w:highlight w:val="none"/>
          <w:shd w:val="clear" w:color="auto" w:fill="auto"/>
        </w:rPr>
        <w:t>=22/</w:t>
      </w:r>
      <w:r>
        <w:rPr>
          <w:rFonts w:hint="eastAsia" w:ascii="Times New Roman" w:hAnsi="Times New Roman" w:cs="Times New Roman"/>
          <w:i w:val="0"/>
          <w:iCs w:val="0"/>
          <w:caps w:val="0"/>
          <w:color w:val="0000FF"/>
          <w:spacing w:val="0"/>
          <w:sz w:val="21"/>
          <w:szCs w:val="21"/>
          <w:highlight w:val="none"/>
          <w:shd w:val="clear" w:color="auto" w:fill="auto"/>
          <w:lang w:val="en-US" w:eastAsia="zh-CN"/>
        </w:rPr>
        <w:t>（</w:t>
      </w:r>
      <w:r>
        <w:rPr>
          <w:rFonts w:hint="default" w:ascii="Times New Roman" w:hAnsi="Times New Roman" w:eastAsia="宋体" w:cs="Times New Roman"/>
          <w:i w:val="0"/>
          <w:iCs w:val="0"/>
          <w:caps w:val="0"/>
          <w:color w:val="0000FF"/>
          <w:spacing w:val="0"/>
          <w:sz w:val="21"/>
          <w:szCs w:val="21"/>
          <w:highlight w:val="none"/>
          <w:shd w:val="clear" w:color="auto" w:fill="auto"/>
        </w:rPr>
        <w:t>1-</w:t>
      </w:r>
      <w:r>
        <w:rPr>
          <w:rFonts w:hint="eastAsia" w:ascii="Times New Roman" w:hAnsi="Times New Roman" w:cs="Times New Roman"/>
          <w:i w:val="0"/>
          <w:iCs w:val="0"/>
          <w:caps w:val="0"/>
          <w:color w:val="0000FF"/>
          <w:spacing w:val="0"/>
          <w:sz w:val="21"/>
          <w:szCs w:val="21"/>
          <w:highlight w:val="none"/>
          <w:shd w:val="clear" w:color="auto" w:fill="auto"/>
          <w:lang w:val="en-US" w:eastAsia="zh-CN"/>
        </w:rPr>
        <w:t>15%</w:t>
      </w:r>
      <w:bookmarkEnd w:id="46"/>
      <w:r>
        <w:rPr>
          <w:rFonts w:hint="eastAsia" w:ascii="Times New Roman" w:hAnsi="Times New Roman" w:cs="Times New Roman"/>
          <w:i w:val="0"/>
          <w:iCs w:val="0"/>
          <w:caps w:val="0"/>
          <w:color w:val="0000FF"/>
          <w:spacing w:val="0"/>
          <w:sz w:val="21"/>
          <w:szCs w:val="21"/>
          <w:highlight w:val="none"/>
          <w:shd w:val="clear" w:color="auto" w:fill="auto"/>
          <w:lang w:val="en-US" w:eastAsia="zh-CN"/>
        </w:rPr>
        <w:t>）</w:t>
      </w:r>
      <w:r>
        <w:rPr>
          <w:rFonts w:hint="default" w:ascii="Times New Roman" w:hAnsi="Times New Roman" w:eastAsia="宋体" w:cs="Times New Roman"/>
          <w:i w:val="0"/>
          <w:iCs w:val="0"/>
          <w:caps w:val="0"/>
          <w:color w:val="0000FF"/>
          <w:spacing w:val="0"/>
          <w:sz w:val="21"/>
          <w:szCs w:val="21"/>
          <w:highlight w:val="none"/>
          <w:shd w:val="clear" w:color="auto" w:fill="auto"/>
        </w:rPr>
        <w:t>≈26例</w:t>
      </w:r>
      <w:r>
        <w:rPr>
          <w:rFonts w:hint="eastAsia" w:ascii="Times New Roman" w:hAnsi="Times New Roman" w:cs="Times New Roman"/>
          <w:i w:val="0"/>
          <w:iCs w:val="0"/>
          <w:caps w:val="0"/>
          <w:color w:val="0000FF"/>
          <w:spacing w:val="0"/>
          <w:sz w:val="21"/>
          <w:szCs w:val="21"/>
          <w:highlight w:val="none"/>
          <w:shd w:val="clear" w:color="auto" w:fill="auto"/>
          <w:lang w:eastAsia="zh-CN"/>
        </w:rPr>
        <w:t>。为确保即使在高脱落率情况下仍能达到足够的统计效能，并结合临床实际操作，最终确定每组样本量为48例</w:t>
      </w:r>
      <w:r>
        <w:rPr>
          <w:rFonts w:hint="default" w:ascii="Times New Roman" w:hAnsi="Times New Roman" w:eastAsia="宋体" w:cs="Times New Roman"/>
          <w:color w:val="0000FF"/>
          <w:kern w:val="2"/>
          <w:sz w:val="21"/>
          <w:szCs w:val="21"/>
          <w:highlight w:val="none"/>
          <w:shd w:val="clear" w:color="auto" w:fill="auto"/>
          <w:lang w:val="en-US" w:eastAsia="zh-CN" w:bidi="ar"/>
        </w:rPr>
        <w:t>。</w:t>
      </w:r>
    </w:p>
    <w:p w14:paraId="0E2A5C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color w:val="auto"/>
          <w:kern w:val="2"/>
          <w:sz w:val="21"/>
          <w:szCs w:val="21"/>
          <w:highlight w:val="none"/>
          <w:shd w:val="clear" w:color="auto" w:fill="auto"/>
          <w:lang w:val="en-US" w:eastAsia="zh-CN" w:bidi="ar"/>
        </w:rPr>
        <w:t>（二）分组与治疗方法</w:t>
      </w:r>
      <w:bookmarkEnd w:id="47"/>
    </w:p>
    <w:p w14:paraId="204473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color w:val="auto"/>
          <w:kern w:val="2"/>
          <w:sz w:val="21"/>
          <w:szCs w:val="21"/>
          <w:highlight w:val="none"/>
          <w:shd w:val="clear" w:color="auto" w:fill="auto"/>
          <w:lang w:val="en-US" w:eastAsia="zh-CN" w:bidi="ar"/>
        </w:rPr>
        <w:t>本研究</w:t>
      </w:r>
      <w:r>
        <w:rPr>
          <w:rFonts w:hint="default" w:ascii="Times New Roman" w:hAnsi="Times New Roman" w:eastAsia="宋体" w:cs="Times New Roman"/>
          <w:color w:val="auto"/>
          <w:kern w:val="2"/>
          <w:sz w:val="21"/>
          <w:szCs w:val="21"/>
          <w:highlight w:val="none"/>
          <w:shd w:val="clear" w:color="auto" w:fill="auto"/>
          <w:lang w:val="en-US" w:eastAsia="zh-CN" w:bidi="ar"/>
        </w:rPr>
        <w:t>采用随机数字表法生成分组序列</w:t>
      </w:r>
      <w:r>
        <w:rPr>
          <w:rFonts w:hint="eastAsia" w:ascii="Times New Roman" w:hAnsi="Times New Roman" w:eastAsia="宋体" w:cs="Times New Roman"/>
          <w:color w:val="auto"/>
          <w:kern w:val="2"/>
          <w:sz w:val="21"/>
          <w:szCs w:val="21"/>
          <w:highlight w:val="none"/>
          <w:shd w:val="clear" w:color="auto" w:fill="auto"/>
          <w:lang w:val="en-US" w:eastAsia="zh-CN" w:bidi="ar"/>
        </w:rPr>
        <w:t>（试验组和对照组）</w:t>
      </w:r>
      <w:r>
        <w:rPr>
          <w:rFonts w:hint="default" w:ascii="Times New Roman" w:hAnsi="Times New Roman" w:eastAsia="宋体" w:cs="Times New Roman"/>
          <w:color w:val="auto"/>
          <w:kern w:val="2"/>
          <w:sz w:val="21"/>
          <w:szCs w:val="21"/>
          <w:highlight w:val="none"/>
          <w:shd w:val="clear" w:color="auto" w:fill="auto"/>
          <w:lang w:val="en-US" w:eastAsia="zh-CN" w:bidi="ar"/>
        </w:rPr>
        <w:t>，由不参与评估的独立研究人员负责分组分配</w:t>
      </w:r>
      <w:r>
        <w:rPr>
          <w:rFonts w:hint="eastAsia" w:ascii="Times New Roman" w:hAnsi="Times New Roman" w:eastAsia="宋体" w:cs="Times New Roman"/>
          <w:color w:val="auto"/>
          <w:kern w:val="2"/>
          <w:sz w:val="21"/>
          <w:szCs w:val="21"/>
          <w:highlight w:val="none"/>
          <w:shd w:val="clear" w:color="auto" w:fill="auto"/>
          <w:lang w:val="en-US" w:eastAsia="zh-CN" w:bidi="ar"/>
        </w:rPr>
        <w:t>，每组48例</w:t>
      </w:r>
      <w:r>
        <w:rPr>
          <w:rFonts w:hint="default" w:ascii="Times New Roman" w:hAnsi="Times New Roman" w:eastAsia="宋体" w:cs="Times New Roman"/>
          <w:color w:val="auto"/>
          <w:kern w:val="2"/>
          <w:sz w:val="21"/>
          <w:szCs w:val="21"/>
          <w:highlight w:val="none"/>
          <w:shd w:val="clear" w:color="auto" w:fill="auto"/>
          <w:lang w:val="en-US" w:eastAsia="zh-CN" w:bidi="ar"/>
        </w:rPr>
        <w:t>。</w:t>
      </w:r>
      <w:r>
        <w:rPr>
          <w:rFonts w:hint="eastAsia" w:ascii="Times New Roman" w:hAnsi="Times New Roman" w:eastAsia="宋体" w:cs="Times New Roman"/>
          <w:color w:val="auto"/>
          <w:kern w:val="2"/>
          <w:sz w:val="21"/>
          <w:szCs w:val="21"/>
          <w:highlight w:val="none"/>
          <w:shd w:val="clear" w:color="auto" w:fill="auto"/>
          <w:lang w:val="en-US" w:eastAsia="zh-CN" w:bidi="ar"/>
        </w:rPr>
        <w:t>2组患者</w:t>
      </w:r>
      <w:r>
        <w:rPr>
          <w:rFonts w:hint="default" w:ascii="Times New Roman" w:hAnsi="Times New Roman" w:eastAsia="宋体" w:cs="Times New Roman"/>
          <w:color w:val="auto"/>
          <w:kern w:val="2"/>
          <w:sz w:val="21"/>
          <w:szCs w:val="21"/>
          <w:highlight w:val="none"/>
          <w:shd w:val="clear" w:color="auto" w:fill="auto"/>
          <w:lang w:val="en-US" w:eastAsia="zh-CN" w:bidi="ar"/>
        </w:rPr>
        <w:t>均接受控制高血压、糖尿病等基础疾病及营养神经的药物治疗，病情稳定后即接受康复治疗。</w:t>
      </w:r>
      <w:r>
        <w:rPr>
          <w:rFonts w:hint="default" w:ascii="Times New Roman" w:hAnsi="Times New Roman" w:eastAsia="宋体" w:cs="Times New Roman"/>
          <w:color w:val="auto"/>
          <w:kern w:val="2"/>
          <w:sz w:val="21"/>
          <w:szCs w:val="21"/>
          <w:highlight w:val="none"/>
          <w:shd w:val="clear" w:color="auto" w:fill="auto"/>
          <w:lang w:val="en-US" w:eastAsia="zh-CN" w:bidi="ar"/>
        </w:rPr>
        <w:t>对照组</w:t>
      </w:r>
      <w:r>
        <w:rPr>
          <w:rFonts w:hint="eastAsia" w:ascii="Times New Roman" w:hAnsi="Times New Roman" w:eastAsia="宋体" w:cs="Times New Roman"/>
          <w:color w:val="auto"/>
          <w:kern w:val="2"/>
          <w:sz w:val="21"/>
          <w:szCs w:val="21"/>
          <w:highlight w:val="none"/>
          <w:shd w:val="clear" w:color="auto" w:fill="auto"/>
          <w:lang w:val="en-US" w:eastAsia="zh-CN" w:bidi="ar"/>
        </w:rPr>
        <w:t>患者</w:t>
      </w:r>
      <w:r>
        <w:rPr>
          <w:rFonts w:hint="default" w:ascii="Times New Roman" w:hAnsi="Times New Roman" w:eastAsia="宋体" w:cs="Times New Roman"/>
          <w:color w:val="auto"/>
          <w:kern w:val="2"/>
          <w:sz w:val="21"/>
          <w:szCs w:val="21"/>
          <w:highlight w:val="none"/>
          <w:shd w:val="clear" w:color="auto" w:fill="auto"/>
          <w:lang w:val="en-US" w:eastAsia="zh-CN" w:bidi="ar"/>
        </w:rPr>
        <w:t>接受不对称性等速肌力训练</w:t>
      </w:r>
      <w:r>
        <w:rPr>
          <w:rFonts w:hint="eastAsia" w:ascii="Times New Roman" w:hAnsi="Times New Roman" w:eastAsia="宋体" w:cs="Times New Roman"/>
          <w:color w:val="auto"/>
          <w:kern w:val="2"/>
          <w:sz w:val="21"/>
          <w:szCs w:val="21"/>
          <w:highlight w:val="none"/>
          <w:shd w:val="clear" w:color="auto" w:fill="auto"/>
          <w:lang w:val="en-US" w:eastAsia="zh-CN" w:bidi="ar"/>
        </w:rPr>
        <w:t>联合假</w:t>
      </w:r>
      <w:r>
        <w:rPr>
          <w:rFonts w:hint="default" w:ascii="Times New Roman" w:hAnsi="Times New Roman" w:eastAsia="宋体" w:cs="Times New Roman"/>
          <w:color w:val="auto"/>
          <w:kern w:val="2"/>
          <w:sz w:val="21"/>
          <w:szCs w:val="21"/>
          <w:highlight w:val="none"/>
          <w:shd w:val="clear" w:color="auto" w:fill="auto"/>
          <w:lang w:val="en-US" w:eastAsia="zh-CN" w:bidi="ar"/>
        </w:rPr>
        <w:t>FES</w:t>
      </w:r>
      <w:r>
        <w:rPr>
          <w:rFonts w:hint="eastAsia" w:ascii="Times New Roman" w:hAnsi="Times New Roman" w:eastAsia="宋体" w:cs="Times New Roman"/>
          <w:color w:val="auto"/>
          <w:kern w:val="2"/>
          <w:sz w:val="21"/>
          <w:szCs w:val="21"/>
          <w:highlight w:val="none"/>
          <w:shd w:val="clear" w:color="auto" w:fill="auto"/>
          <w:lang w:val="en-US" w:eastAsia="zh-CN" w:bidi="ar"/>
        </w:rPr>
        <w:t>干预，试验组患者</w:t>
      </w:r>
      <w:r>
        <w:rPr>
          <w:rFonts w:hint="default" w:ascii="Times New Roman" w:hAnsi="Times New Roman" w:eastAsia="宋体" w:cs="Times New Roman"/>
          <w:color w:val="auto"/>
          <w:kern w:val="2"/>
          <w:sz w:val="21"/>
          <w:szCs w:val="21"/>
          <w:highlight w:val="none"/>
          <w:shd w:val="clear" w:color="auto" w:fill="auto"/>
          <w:lang w:val="en-US" w:eastAsia="zh-CN" w:bidi="ar"/>
        </w:rPr>
        <w:t>接受FES联合不对称性等速肌力训练。</w:t>
      </w:r>
      <w:bookmarkEnd w:id="48"/>
      <w:r>
        <w:rPr>
          <w:rFonts w:hint="default" w:ascii="Times New Roman" w:hAnsi="Times New Roman" w:eastAsia="宋体" w:cs="Times New Roman"/>
          <w:color w:val="auto"/>
          <w:kern w:val="2"/>
          <w:sz w:val="21"/>
          <w:szCs w:val="21"/>
          <w:highlight w:val="none"/>
          <w:shd w:val="clear" w:color="auto" w:fill="auto"/>
          <w:lang w:val="en-US" w:eastAsia="zh-CN" w:bidi="ar"/>
        </w:rPr>
        <w:t>所有治疗由3名经验丰富</w:t>
      </w:r>
      <w:r>
        <w:rPr>
          <w:rFonts w:hint="eastAsia" w:ascii="Times New Roman" w:hAnsi="Times New Roman" w:eastAsia="宋体" w:cs="Times New Roman"/>
          <w:color w:val="auto"/>
          <w:kern w:val="2"/>
          <w:sz w:val="21"/>
          <w:szCs w:val="21"/>
          <w:highlight w:val="none"/>
          <w:shd w:val="clear" w:color="auto" w:fill="auto"/>
          <w:lang w:val="en-US" w:eastAsia="zh-CN" w:bidi="ar"/>
        </w:rPr>
        <w:t>且</w:t>
      </w:r>
      <w:r>
        <w:rPr>
          <w:rFonts w:hint="default" w:ascii="Times New Roman" w:hAnsi="Times New Roman" w:eastAsia="宋体" w:cs="Times New Roman"/>
          <w:color w:val="auto"/>
          <w:kern w:val="2"/>
          <w:sz w:val="21"/>
          <w:szCs w:val="21"/>
          <w:highlight w:val="none"/>
          <w:shd w:val="clear" w:color="auto" w:fill="auto"/>
          <w:lang w:val="en-US" w:eastAsia="zh-CN" w:bidi="ar"/>
        </w:rPr>
        <w:t>接受统一培训的治疗师</w:t>
      </w:r>
      <w:r>
        <w:rPr>
          <w:rFonts w:hint="eastAsia" w:ascii="Times New Roman" w:hAnsi="Times New Roman" w:eastAsia="宋体" w:cs="Times New Roman"/>
          <w:color w:val="auto"/>
          <w:kern w:val="2"/>
          <w:sz w:val="21"/>
          <w:szCs w:val="21"/>
          <w:highlight w:val="none"/>
          <w:shd w:val="clear" w:color="auto" w:fill="auto"/>
          <w:lang w:val="en-US" w:eastAsia="zh-CN" w:bidi="ar"/>
        </w:rPr>
        <w:t>负责</w:t>
      </w:r>
      <w:r>
        <w:rPr>
          <w:rFonts w:hint="default" w:ascii="Times New Roman" w:hAnsi="Times New Roman" w:eastAsia="宋体" w:cs="Times New Roman"/>
          <w:color w:val="auto"/>
          <w:kern w:val="2"/>
          <w:sz w:val="21"/>
          <w:szCs w:val="21"/>
          <w:highlight w:val="none"/>
          <w:shd w:val="clear" w:color="auto" w:fill="auto"/>
          <w:lang w:val="en-US" w:eastAsia="zh-CN" w:bidi="ar"/>
        </w:rPr>
        <w:t>执行，每周进行治疗方案核对，FES设备每月校准</w:t>
      </w:r>
      <w:r>
        <w:rPr>
          <w:rFonts w:hint="eastAsia" w:ascii="Times New Roman" w:hAnsi="Times New Roman" w:eastAsia="宋体" w:cs="Times New Roman"/>
          <w:color w:val="auto"/>
          <w:kern w:val="2"/>
          <w:sz w:val="21"/>
          <w:szCs w:val="21"/>
          <w:highlight w:val="none"/>
          <w:shd w:val="clear" w:color="auto" w:fill="auto"/>
          <w:lang w:val="en-US" w:eastAsia="zh-CN" w:bidi="ar"/>
        </w:rPr>
        <w:t>1</w:t>
      </w:r>
      <w:r>
        <w:rPr>
          <w:rFonts w:hint="default" w:ascii="Times New Roman" w:hAnsi="Times New Roman" w:eastAsia="宋体" w:cs="Times New Roman"/>
          <w:color w:val="auto"/>
          <w:kern w:val="2"/>
          <w:sz w:val="21"/>
          <w:szCs w:val="21"/>
          <w:highlight w:val="none"/>
          <w:shd w:val="clear" w:color="auto" w:fill="auto"/>
          <w:lang w:val="en-US" w:eastAsia="zh-CN" w:bidi="ar"/>
        </w:rPr>
        <w:t>次。</w:t>
      </w:r>
    </w:p>
    <w:p w14:paraId="7865E0A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both"/>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
        </w:rPr>
      </w:pP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1</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 对</w:t>
      </w:r>
      <w:bookmarkEnd w:id="50"/>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照组</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w:t>
      </w:r>
      <w:r>
        <w:rPr>
          <w:rFonts w:hint="eastAsia" w:ascii="Times New Roman" w:hAnsi="Times New Roman" w:eastAsia="宋体" w:cs="Times New Roman"/>
          <w:color w:val="auto"/>
          <w:kern w:val="2"/>
          <w:sz w:val="21"/>
          <w:szCs w:val="21"/>
          <w:highlight w:val="none"/>
          <w:shd w:val="clear" w:color="auto" w:fill="auto"/>
          <w:lang w:val="en-US" w:eastAsia="zh-CN" w:bidi="ar"/>
        </w:rPr>
        <w:t>接受</w:t>
      </w:r>
      <w:r>
        <w:rPr>
          <w:rFonts w:hint="default" w:ascii="Times New Roman" w:hAnsi="Times New Roman" w:eastAsia="宋体" w:cs="Times New Roman"/>
          <w:color w:val="auto"/>
          <w:kern w:val="2"/>
          <w:sz w:val="21"/>
          <w:szCs w:val="21"/>
          <w:highlight w:val="none"/>
          <w:shd w:val="clear" w:color="auto" w:fill="auto"/>
          <w:lang w:val="en-US" w:eastAsia="zh-CN" w:bidi="ar"/>
        </w:rPr>
        <w:t>不对称性等速肌力训练</w:t>
      </w:r>
      <w:r>
        <w:rPr>
          <w:rFonts w:hint="eastAsia" w:ascii="Times New Roman" w:hAnsi="Times New Roman" w:eastAsia="宋体" w:cs="Times New Roman"/>
          <w:color w:val="auto"/>
          <w:kern w:val="2"/>
          <w:sz w:val="21"/>
          <w:szCs w:val="21"/>
          <w:highlight w:val="none"/>
          <w:shd w:val="clear" w:color="auto" w:fill="auto"/>
          <w:lang w:val="en-US" w:eastAsia="zh-CN" w:bidi="ar"/>
        </w:rPr>
        <w:t>联合</w:t>
      </w:r>
      <w:bookmarkEnd w:id="51"/>
      <w:r>
        <w:rPr>
          <w:rFonts w:hint="default" w:ascii="Times New Roman" w:hAnsi="Times New Roman" w:eastAsia="宋体" w:cs="Times New Roman"/>
          <w:color w:val="auto"/>
          <w:kern w:val="2"/>
          <w:sz w:val="21"/>
          <w:szCs w:val="21"/>
          <w:highlight w:val="none"/>
          <w:shd w:val="clear" w:color="auto" w:fill="auto"/>
          <w:lang w:val="en-US" w:eastAsia="zh-CN" w:bidi="ar"/>
        </w:rPr>
        <w:t>FES</w:t>
      </w:r>
      <w:r>
        <w:rPr>
          <w:rFonts w:hint="eastAsia" w:ascii="Times New Roman" w:hAnsi="Times New Roman" w:eastAsia="宋体" w:cs="Times New Roman"/>
          <w:color w:val="auto"/>
          <w:kern w:val="2"/>
          <w:sz w:val="21"/>
          <w:szCs w:val="21"/>
          <w:highlight w:val="none"/>
          <w:shd w:val="clear" w:color="auto" w:fill="auto"/>
          <w:lang w:val="en-US" w:eastAsia="zh-CN" w:bidi="ar"/>
        </w:rPr>
        <w:t>假刺激。</w:t>
      </w:r>
      <w:bookmarkEnd w:id="49"/>
      <w:r>
        <w:rPr>
          <w:rFonts w:hint="default" w:ascii="Times New Roman" w:hAnsi="Times New Roman" w:eastAsia="宋体" w:cs="Times New Roman"/>
          <w:color w:val="auto"/>
          <w:kern w:val="2"/>
          <w:sz w:val="21"/>
          <w:szCs w:val="21"/>
          <w:highlight w:val="none"/>
          <w:shd w:val="clear" w:color="auto" w:fill="auto"/>
          <w:lang w:val="en-US" w:eastAsia="zh-CN" w:bidi="ar"/>
        </w:rPr>
        <w:t>具体</w:t>
      </w:r>
      <w:r>
        <w:rPr>
          <w:rFonts w:hint="eastAsia" w:ascii="Times New Roman" w:hAnsi="Times New Roman" w:eastAsia="宋体" w:cs="Times New Roman"/>
          <w:color w:val="auto"/>
          <w:kern w:val="2"/>
          <w:sz w:val="21"/>
          <w:szCs w:val="21"/>
          <w:highlight w:val="none"/>
          <w:shd w:val="clear" w:color="auto" w:fill="auto"/>
          <w:lang w:val="en-US" w:eastAsia="zh-CN" w:bidi="ar"/>
        </w:rPr>
        <w:t>操作</w:t>
      </w:r>
      <w:r>
        <w:rPr>
          <w:rFonts w:hint="default" w:ascii="Times New Roman" w:hAnsi="Times New Roman" w:eastAsia="宋体" w:cs="Times New Roman"/>
          <w:color w:val="auto"/>
          <w:kern w:val="2"/>
          <w:sz w:val="21"/>
          <w:szCs w:val="21"/>
          <w:highlight w:val="none"/>
          <w:shd w:val="clear" w:color="auto" w:fill="auto"/>
          <w:lang w:val="en-US" w:eastAsia="zh-CN" w:bidi="ar"/>
        </w:rPr>
        <w:t>如下：</w:t>
      </w:r>
      <w:r>
        <w:rPr>
          <w:rFonts w:hint="eastAsia" w:ascii="Times New Roman" w:hAnsi="Times New Roman" w:eastAsia="宋体" w:cs="Times New Roman"/>
          <w:color w:val="auto"/>
          <w:kern w:val="2"/>
          <w:sz w:val="21"/>
          <w:szCs w:val="21"/>
          <w:highlight w:val="none"/>
          <w:shd w:val="clear" w:color="auto" w:fill="auto"/>
          <w:lang w:val="en-US" w:eastAsia="zh-CN" w:bidi="ar"/>
        </w:rPr>
        <w:t>（1）</w:t>
      </w:r>
      <w:r>
        <w:rPr>
          <w:rFonts w:hint="default" w:ascii="Times New Roman" w:hAnsi="Times New Roman" w:eastAsia="宋体" w:cs="Times New Roman"/>
          <w:color w:val="auto"/>
          <w:kern w:val="2"/>
          <w:sz w:val="21"/>
          <w:szCs w:val="21"/>
          <w:highlight w:val="none"/>
          <w:shd w:val="clear" w:color="auto" w:fill="auto"/>
          <w:lang w:val="en-US" w:eastAsia="zh-CN" w:bidi="ar"/>
        </w:rPr>
        <w:t>不对称性等速肌力训练</w:t>
      </w:r>
      <w:r>
        <w:rPr>
          <w:rFonts w:hint="eastAsia" w:ascii="Times New Roman" w:hAnsi="Times New Roman" w:eastAsia="宋体" w:cs="Times New Roman"/>
          <w:color w:val="auto"/>
          <w:kern w:val="2"/>
          <w:sz w:val="21"/>
          <w:szCs w:val="21"/>
          <w:highlight w:val="none"/>
          <w:shd w:val="clear" w:color="auto" w:fill="auto"/>
          <w:lang w:val="en-US" w:eastAsia="zh-CN" w:bidi="ar"/>
        </w:rPr>
        <w:t>。</w:t>
      </w:r>
      <w:bookmarkEnd w:id="52"/>
      <w:r>
        <w:rPr>
          <w:rFonts w:hint="default" w:ascii="Times New Roman" w:hAnsi="Times New Roman" w:eastAsia="宋体" w:cs="Times New Roman"/>
          <w:color w:val="auto"/>
          <w:kern w:val="2"/>
          <w:sz w:val="21"/>
          <w:szCs w:val="21"/>
          <w:highlight w:val="none"/>
          <w:shd w:val="clear" w:color="auto" w:fill="auto"/>
          <w:lang w:val="en-US" w:eastAsia="zh-CN" w:bidi="ar"/>
        </w:rPr>
        <w:t>①患侧上肢采用BIODEX system-Ⅲ多关节等速测试与训练系统</w:t>
      </w:r>
      <w:r>
        <w:rPr>
          <w:rFonts w:hint="eastAsia" w:ascii="Times New Roman" w:hAnsi="Times New Roman" w:eastAsia="宋体" w:cs="Times New Roman"/>
          <w:color w:val="auto"/>
          <w:kern w:val="2"/>
          <w:sz w:val="21"/>
          <w:szCs w:val="21"/>
          <w:highlight w:val="none"/>
          <w:shd w:val="clear" w:color="auto" w:fill="auto"/>
          <w:lang w:val="en-US" w:eastAsia="zh-CN" w:bidi="ar"/>
        </w:rPr>
        <w:t>（型号：System 3 Pro，美国Biodex Medical Systems公司）</w:t>
      </w:r>
      <w:r>
        <w:rPr>
          <w:rFonts w:hint="default" w:ascii="Times New Roman" w:hAnsi="Times New Roman" w:eastAsia="宋体" w:cs="Times New Roman"/>
          <w:color w:val="auto"/>
          <w:kern w:val="2"/>
          <w:sz w:val="21"/>
          <w:szCs w:val="21"/>
          <w:highlight w:val="none"/>
          <w:shd w:val="clear" w:color="auto" w:fill="auto"/>
          <w:lang w:val="en-US" w:eastAsia="zh-CN" w:bidi="ar"/>
        </w:rPr>
        <w:t>进行锻炼。②治疗时，患者保持坐姿，确保座椅与机器头部角度均调整至0°，固定躯干部分，同时将肘关节安置在专门的支架上。预备姿势为肘关节完全伸直，即0°状态，并预先设定好肘关节的运动幅度。③在开始正式训练前，进行2</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min的热身活动，随后尽全力进行肘关节的屈伸练习。肘关节在等速训练中的角速度设为屈肘210</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°/s，伸肘60</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°/s，完成10次肘屈伸动作为</w:t>
      </w:r>
      <w:r>
        <w:rPr>
          <w:rFonts w:hint="eastAsia" w:ascii="Times New Roman" w:hAnsi="Times New Roman" w:eastAsia="宋体" w:cs="Times New Roman"/>
          <w:color w:val="auto"/>
          <w:kern w:val="2"/>
          <w:sz w:val="21"/>
          <w:szCs w:val="21"/>
          <w:highlight w:val="none"/>
          <w:shd w:val="clear" w:color="auto" w:fill="auto"/>
          <w:lang w:val="en-US" w:eastAsia="zh-CN" w:bidi="ar"/>
        </w:rPr>
        <w:t>1</w:t>
      </w:r>
      <w:r>
        <w:rPr>
          <w:rFonts w:hint="default" w:ascii="Times New Roman" w:hAnsi="Times New Roman" w:eastAsia="宋体" w:cs="Times New Roman"/>
          <w:color w:val="auto"/>
          <w:kern w:val="2"/>
          <w:sz w:val="21"/>
          <w:szCs w:val="21"/>
          <w:highlight w:val="none"/>
          <w:shd w:val="clear" w:color="auto" w:fill="auto"/>
          <w:lang w:val="en-US" w:eastAsia="zh-CN" w:bidi="ar"/>
        </w:rPr>
        <w:t>轮</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每次训练</w:t>
      </w:r>
      <w:r>
        <w:rPr>
          <w:rFonts w:hint="eastAsia" w:ascii="Times New Roman" w:hAnsi="Times New Roman" w:eastAsia="宋体" w:cs="Times New Roman"/>
          <w:color w:val="auto"/>
          <w:kern w:val="2"/>
          <w:sz w:val="21"/>
          <w:szCs w:val="21"/>
          <w:highlight w:val="none"/>
          <w:shd w:val="clear" w:color="auto" w:fill="auto"/>
          <w:lang w:val="en-US" w:eastAsia="zh-CN" w:bidi="ar"/>
        </w:rPr>
        <w:t>共</w:t>
      </w:r>
      <w:r>
        <w:rPr>
          <w:rFonts w:hint="default" w:ascii="Times New Roman" w:hAnsi="Times New Roman" w:eastAsia="宋体" w:cs="Times New Roman"/>
          <w:color w:val="auto"/>
          <w:kern w:val="2"/>
          <w:sz w:val="21"/>
          <w:szCs w:val="21"/>
          <w:highlight w:val="none"/>
          <w:shd w:val="clear" w:color="auto" w:fill="auto"/>
          <w:lang w:val="en-US" w:eastAsia="zh-CN" w:bidi="ar"/>
        </w:rPr>
        <w:t>4轮，每2轮训练之间设有30</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s</w:t>
      </w:r>
      <w:r>
        <w:rPr>
          <w:rFonts w:hint="eastAsia" w:ascii="Times New Roman" w:hAnsi="Times New Roman" w:eastAsia="宋体" w:cs="Times New Roman"/>
          <w:color w:val="auto"/>
          <w:kern w:val="2"/>
          <w:sz w:val="21"/>
          <w:szCs w:val="21"/>
          <w:highlight w:val="none"/>
          <w:shd w:val="clear" w:color="auto" w:fill="auto"/>
          <w:lang w:val="en-US" w:eastAsia="zh-CN" w:bidi="ar"/>
        </w:rPr>
        <w:t>的</w:t>
      </w:r>
      <w:r>
        <w:rPr>
          <w:rFonts w:hint="default" w:ascii="Times New Roman" w:hAnsi="Times New Roman" w:eastAsia="宋体" w:cs="Times New Roman"/>
          <w:color w:val="auto"/>
          <w:kern w:val="2"/>
          <w:sz w:val="21"/>
          <w:szCs w:val="21"/>
          <w:highlight w:val="none"/>
          <w:shd w:val="clear" w:color="auto" w:fill="auto"/>
          <w:lang w:val="en-US" w:eastAsia="zh-CN" w:bidi="ar"/>
        </w:rPr>
        <w:t>休息时间，整个训练时长为30</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min。根据患者每次训练后疲劳程度和疼痛评分</w:t>
      </w:r>
      <w:r>
        <w:rPr>
          <w:rFonts w:hint="eastAsia" w:ascii="Times New Roman" w:hAnsi="Times New Roman"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视觉模拟评分法（visual analogue scale</w:t>
      </w:r>
      <w:r>
        <w:rPr>
          <w:rFonts w:hint="eastAsia" w:ascii="Times New Roman" w:hAnsi="Times New Roman" w:eastAsia="宋体" w:cs="Times New Roman"/>
          <w:color w:val="auto"/>
          <w:kern w:val="2"/>
          <w:sz w:val="21"/>
          <w:szCs w:val="21"/>
          <w:highlight w:val="none"/>
          <w:shd w:val="clear" w:color="auto" w:fill="auto"/>
          <w:lang w:val="en-US" w:eastAsia="zh-CN" w:bidi="ar"/>
        </w:rPr>
        <w:t>，</w:t>
      </w:r>
      <w:bookmarkEnd w:id="53"/>
      <w:r>
        <w:rPr>
          <w:rFonts w:hint="default" w:ascii="Times New Roman" w:hAnsi="Times New Roman" w:eastAsia="宋体" w:cs="Times New Roman"/>
          <w:color w:val="auto"/>
          <w:kern w:val="2"/>
          <w:sz w:val="21"/>
          <w:szCs w:val="21"/>
          <w:highlight w:val="none"/>
          <w:shd w:val="clear" w:color="auto" w:fill="auto"/>
          <w:lang w:val="en-US" w:eastAsia="zh-CN" w:bidi="ar"/>
        </w:rPr>
        <w:t>VAS）＜3分</w:t>
      </w:r>
      <w:r>
        <w:rPr>
          <w:rFonts w:hint="eastAsia" w:ascii="Times New Roman" w:hAnsi="Times New Roman"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动态调整阻力水平。</w:t>
      </w:r>
      <w:r>
        <w:rPr>
          <w:rFonts w:hint="default" w:ascii="Times New Roman" w:hAnsi="Times New Roman" w:eastAsia="宋体" w:cs="Times New Roman"/>
          <w:color w:val="auto"/>
          <w:kern w:val="2"/>
          <w:sz w:val="21"/>
          <w:szCs w:val="21"/>
          <w:highlight w:val="none"/>
          <w:shd w:val="clear" w:color="auto" w:fill="auto"/>
          <w:lang w:val="en-US" w:eastAsia="zh-CN" w:bidi="ar"/>
        </w:rPr>
        <w:t>不对称性等速肌力训练每天1次，每周5次，</w:t>
      </w:r>
      <w:r>
        <w:rPr>
          <w:rFonts w:hint="eastAsia" w:ascii="Times New Roman" w:hAnsi="Times New Roman" w:eastAsia="宋体" w:cs="Times New Roman"/>
          <w:color w:val="auto"/>
          <w:kern w:val="2"/>
          <w:sz w:val="21"/>
          <w:szCs w:val="21"/>
          <w:highlight w:val="none"/>
          <w:shd w:val="clear" w:color="auto" w:fill="auto"/>
          <w:lang w:val="en-US" w:eastAsia="zh-CN" w:bidi="ar"/>
        </w:rPr>
        <w:t>持续</w:t>
      </w:r>
      <w:r>
        <w:rPr>
          <w:rFonts w:hint="default" w:ascii="Times New Roman" w:hAnsi="Times New Roman" w:eastAsia="宋体" w:cs="Times New Roman"/>
          <w:color w:val="auto"/>
          <w:kern w:val="2"/>
          <w:sz w:val="21"/>
          <w:szCs w:val="21"/>
          <w:highlight w:val="none"/>
          <w:shd w:val="clear" w:color="auto" w:fill="auto"/>
          <w:lang w:val="en-US" w:eastAsia="zh-CN" w:bidi="ar"/>
        </w:rPr>
        <w:t>3周。</w:t>
      </w:r>
      <w:bookmarkEnd w:id="54"/>
      <w:r>
        <w:rPr>
          <w:rFonts w:hint="eastAsia" w:ascii="Times New Roman" w:hAnsi="Times New Roman" w:eastAsia="宋体" w:cs="Times New Roman"/>
          <w:color w:val="auto"/>
          <w:kern w:val="2"/>
          <w:sz w:val="21"/>
          <w:szCs w:val="21"/>
          <w:highlight w:val="none"/>
          <w:shd w:val="clear" w:color="auto" w:fill="auto"/>
          <w:lang w:val="en-US" w:eastAsia="zh-CN" w:bidi="ar"/>
        </w:rPr>
        <w:t>（2）假</w:t>
      </w:r>
      <w:r>
        <w:rPr>
          <w:rFonts w:hint="default" w:ascii="Times New Roman" w:hAnsi="Times New Roman" w:eastAsia="宋体" w:cs="Times New Roman"/>
          <w:color w:val="auto"/>
          <w:kern w:val="2"/>
          <w:sz w:val="21"/>
          <w:szCs w:val="21"/>
          <w:highlight w:val="none"/>
          <w:shd w:val="clear" w:color="auto" w:fill="auto"/>
          <w:lang w:val="en-US" w:eastAsia="zh-CN" w:bidi="ar"/>
        </w:rPr>
        <w:t>FES</w:t>
      </w:r>
      <w:r>
        <w:rPr>
          <w:rFonts w:hint="eastAsia" w:ascii="Times New Roman" w:hAnsi="Times New Roman" w:eastAsia="宋体" w:cs="Times New Roman"/>
          <w:color w:val="auto"/>
          <w:kern w:val="2"/>
          <w:sz w:val="21"/>
          <w:szCs w:val="21"/>
          <w:highlight w:val="none"/>
          <w:shd w:val="clear" w:color="auto" w:fill="auto"/>
          <w:lang w:val="en-US" w:eastAsia="zh-CN" w:bidi="ar"/>
        </w:rPr>
        <w:t>干预。FES设备型号、电极放置位置均与试验组相同，但刺激参数设置为不</w:t>
      </w:r>
      <w:r>
        <w:rPr>
          <w:rFonts w:hint="eastAsia" w:ascii="Times New Roman" w:hAnsi="Times New Roman" w:cs="Times New Roman"/>
          <w:color w:val="auto"/>
          <w:kern w:val="2"/>
          <w:sz w:val="21"/>
          <w:szCs w:val="21"/>
          <w:highlight w:val="none"/>
          <w:shd w:val="clear" w:color="auto" w:fill="auto"/>
          <w:lang w:val="en-US" w:eastAsia="zh-CN" w:bidi="ar"/>
        </w:rPr>
        <w:t>具有</w:t>
      </w:r>
      <w:r>
        <w:rPr>
          <w:rFonts w:hint="eastAsia" w:ascii="Times New Roman" w:hAnsi="Times New Roman" w:eastAsia="宋体" w:cs="Times New Roman"/>
          <w:color w:val="auto"/>
          <w:kern w:val="2"/>
          <w:sz w:val="21"/>
          <w:szCs w:val="21"/>
          <w:highlight w:val="none"/>
          <w:shd w:val="clear" w:color="auto" w:fill="auto"/>
          <w:lang w:val="en-US" w:eastAsia="zh-CN" w:bidi="ar"/>
        </w:rPr>
        <w:t>生理效应的剂量（输出强度为0 mA），仅产生极轻微的触感而无任何肌肉收缩。治疗师会向该组患者采用统一的标准化解释“该治疗仪能通过微电流促进神经功能恢复”</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w:t>
      </w:r>
      <w:r>
        <w:rPr>
          <w:rFonts w:hint="eastAsia" w:ascii="Times New Roman" w:hAnsi="Times New Roman" w:eastAsia="宋体" w:cs="Times New Roman"/>
          <w:color w:val="auto"/>
          <w:kern w:val="2"/>
          <w:sz w:val="21"/>
          <w:szCs w:val="21"/>
          <w:highlight w:val="none"/>
          <w:shd w:val="clear" w:color="auto" w:fill="auto"/>
          <w:lang w:val="en-US" w:eastAsia="zh-CN" w:bidi="ar"/>
        </w:rPr>
        <w:t>FES假刺激</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每天1次，每周5次，</w:t>
      </w:r>
      <w:r>
        <w:rPr>
          <w:rFonts w:hint="eastAsia" w:ascii="Times New Roman" w:hAnsi="Times New Roman" w:eastAsia="宋体" w:cs="Times New Roman"/>
          <w:color w:val="auto"/>
          <w:kern w:val="2"/>
          <w:sz w:val="21"/>
          <w:szCs w:val="21"/>
          <w:highlight w:val="none"/>
          <w:shd w:val="clear" w:color="auto" w:fill="auto"/>
          <w:lang w:val="en-US" w:eastAsia="zh-CN" w:bidi="ar"/>
        </w:rPr>
        <w:t>持续</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3周。</w:t>
      </w:r>
    </w:p>
    <w:p w14:paraId="327BA9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2</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 试</w:t>
      </w:r>
      <w:bookmarkEnd w:id="56"/>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验组：</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接受</w:t>
      </w:r>
      <w:r>
        <w:rPr>
          <w:rFonts w:hint="default" w:ascii="Times New Roman" w:hAnsi="Times New Roman" w:eastAsia="宋体" w:cs="Times New Roman"/>
          <w:color w:val="auto"/>
          <w:kern w:val="2"/>
          <w:sz w:val="21"/>
          <w:szCs w:val="21"/>
          <w:highlight w:val="none"/>
          <w:shd w:val="clear" w:color="auto" w:fill="auto"/>
          <w:lang w:val="en-US" w:eastAsia="zh-CN" w:bidi="ar"/>
        </w:rPr>
        <w:t>FES联合不对称性等速肌力训练</w:t>
      </w:r>
      <w:r>
        <w:rPr>
          <w:rFonts w:hint="eastAsia" w:ascii="Times New Roman" w:hAnsi="Times New Roman" w:eastAsia="宋体" w:cs="Times New Roman"/>
          <w:color w:val="auto"/>
          <w:kern w:val="2"/>
          <w:sz w:val="21"/>
          <w:szCs w:val="21"/>
          <w:highlight w:val="none"/>
          <w:shd w:val="clear" w:color="auto" w:fill="auto"/>
          <w:lang w:val="en-US" w:eastAsia="zh-CN" w:bidi="ar"/>
        </w:rPr>
        <w:t>。</w:t>
      </w:r>
      <w:bookmarkEnd w:id="55"/>
      <w:r>
        <w:rPr>
          <w:rFonts w:hint="eastAsia" w:ascii="Times New Roman" w:hAnsi="Times New Roman" w:eastAsia="宋体" w:cs="Times New Roman"/>
          <w:color w:val="auto"/>
          <w:kern w:val="2"/>
          <w:sz w:val="21"/>
          <w:szCs w:val="21"/>
          <w:highlight w:val="none"/>
          <w:shd w:val="clear" w:color="auto" w:fill="auto"/>
          <w:lang w:val="en-US" w:eastAsia="zh-CN" w:bidi="ar"/>
        </w:rPr>
        <w:t>具体操作如下：（1）</w:t>
      </w:r>
      <w:r>
        <w:rPr>
          <w:rFonts w:hint="default" w:ascii="Times New Roman" w:hAnsi="Times New Roman" w:eastAsia="宋体" w:cs="Times New Roman"/>
          <w:color w:val="auto"/>
          <w:kern w:val="2"/>
          <w:sz w:val="21"/>
          <w:szCs w:val="21"/>
          <w:highlight w:val="none"/>
          <w:shd w:val="clear" w:color="auto" w:fill="auto"/>
          <w:lang w:val="en-US" w:eastAsia="zh-CN" w:bidi="ar"/>
        </w:rPr>
        <w:t>不对称性等速肌力训练</w:t>
      </w:r>
      <w:r>
        <w:rPr>
          <w:rFonts w:hint="eastAsia" w:ascii="Times New Roman" w:hAnsi="Times New Roman" w:eastAsia="宋体" w:cs="Times New Roman"/>
          <w:color w:val="auto"/>
          <w:kern w:val="2"/>
          <w:sz w:val="21"/>
          <w:szCs w:val="21"/>
          <w:highlight w:val="none"/>
          <w:shd w:val="clear" w:color="auto" w:fill="auto"/>
          <w:lang w:val="en-US" w:eastAsia="zh-CN" w:bidi="ar"/>
        </w:rPr>
        <w:t>同对照组。</w:t>
      </w:r>
      <w:bookmarkEnd w:id="57"/>
      <w:r>
        <w:rPr>
          <w:rFonts w:hint="eastAsia" w:ascii="Times New Roman" w:hAnsi="Times New Roman" w:eastAsia="宋体" w:cs="Times New Roman"/>
          <w:color w:val="auto"/>
          <w:kern w:val="2"/>
          <w:sz w:val="21"/>
          <w:szCs w:val="21"/>
          <w:highlight w:val="none"/>
          <w:shd w:val="clear" w:color="auto" w:fill="auto"/>
          <w:lang w:val="en-US" w:eastAsia="zh-CN" w:bidi="ar"/>
        </w:rPr>
        <w:t>（2）</w:t>
      </w:r>
      <w:r>
        <w:rPr>
          <w:rFonts w:hint="default" w:ascii="Times New Roman" w:hAnsi="Times New Roman" w:eastAsia="宋体" w:cs="Times New Roman"/>
          <w:color w:val="auto"/>
          <w:kern w:val="2"/>
          <w:sz w:val="21"/>
          <w:szCs w:val="21"/>
          <w:highlight w:val="none"/>
          <w:shd w:val="clear" w:color="auto" w:fill="auto"/>
          <w:lang w:val="en-US" w:eastAsia="zh-CN" w:bidi="ar"/>
        </w:rPr>
        <w:t>FES干预</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①使用</w:t>
      </w:r>
      <w:r>
        <w:rPr>
          <w:rFonts w:hint="eastAsia" w:ascii="Times New Roman" w:hAnsi="Times New Roman" w:eastAsia="宋体" w:cs="Times New Roman"/>
          <w:color w:val="auto"/>
          <w:kern w:val="2"/>
          <w:sz w:val="21"/>
          <w:szCs w:val="21"/>
          <w:highlight w:val="none"/>
          <w:shd w:val="clear" w:color="auto" w:fill="auto"/>
          <w:lang w:val="en-US" w:eastAsia="zh-CN" w:bidi="ar"/>
        </w:rPr>
        <w:t>Ⅱ型</w:t>
      </w:r>
      <w:r>
        <w:rPr>
          <w:rFonts w:hint="default" w:ascii="Times New Roman" w:hAnsi="Times New Roman" w:eastAsia="宋体" w:cs="Times New Roman"/>
          <w:color w:val="auto"/>
          <w:kern w:val="2"/>
          <w:sz w:val="21"/>
          <w:szCs w:val="21"/>
          <w:highlight w:val="none"/>
          <w:shd w:val="clear" w:color="auto" w:fill="auto"/>
          <w:lang w:val="en-US" w:eastAsia="zh-CN" w:bidi="ar"/>
        </w:rPr>
        <w:t>双通道FES治疗</w:t>
      </w:r>
      <w:r>
        <w:rPr>
          <w:rFonts w:hint="eastAsia" w:ascii="Times New Roman" w:hAnsi="Times New Roman" w:eastAsia="宋体" w:cs="Times New Roman"/>
          <w:color w:val="auto"/>
          <w:kern w:val="2"/>
          <w:sz w:val="21"/>
          <w:szCs w:val="21"/>
          <w:highlight w:val="none"/>
          <w:shd w:val="clear" w:color="auto" w:fill="auto"/>
          <w:lang w:val="en-US" w:eastAsia="zh-CN" w:bidi="ar"/>
        </w:rPr>
        <w:t>仪（型号：Endomed 482，荷兰Enraf-Nonius公司）</w:t>
      </w:r>
      <w:r>
        <w:rPr>
          <w:rFonts w:hint="default" w:ascii="Times New Roman" w:hAnsi="Times New Roman" w:eastAsia="宋体" w:cs="Times New Roman"/>
          <w:color w:val="auto"/>
          <w:kern w:val="2"/>
          <w:sz w:val="21"/>
          <w:szCs w:val="21"/>
          <w:highlight w:val="none"/>
          <w:shd w:val="clear" w:color="auto" w:fill="auto"/>
          <w:lang w:val="en-US" w:eastAsia="zh-CN" w:bidi="ar"/>
        </w:rPr>
        <w:t>进行干预，其中一组</w:t>
      </w:r>
      <w:r>
        <w:rPr>
          <w:rFonts w:hint="eastAsia" w:ascii="Times New Roman" w:hAnsi="Times New Roman" w:eastAsia="宋体" w:cs="Times New Roman"/>
          <w:color w:val="auto"/>
          <w:kern w:val="2"/>
          <w:sz w:val="21"/>
          <w:szCs w:val="21"/>
          <w:highlight w:val="none"/>
          <w:shd w:val="clear" w:color="auto" w:fill="auto"/>
          <w:lang w:val="en-US" w:eastAsia="zh-CN" w:bidi="ar"/>
        </w:rPr>
        <w:t>较小</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电极（尺寸3 cm </w:t>
      </w:r>
      <w:r>
        <w:rPr>
          <w:rFonts w:hint="default" w:ascii="Times New Roman" w:hAnsi="Times New Roman" w:eastAsia="宋体" w:cs="Arial"/>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 3 cm）放置于患侧上肢前臂背侧的远端约1/3至1/2区域，另一组较大电极（尺寸4</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cm </w:t>
      </w:r>
      <w:r>
        <w:rPr>
          <w:rFonts w:hint="default" w:ascii="Times New Roman" w:hAnsi="Times New Roman" w:eastAsia="宋体" w:cs="Arial"/>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 4</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cm）定位于肩部三角肌中部与冈上肌中部的运动激活点。运动激活点的精确位置</w:t>
      </w:r>
      <w:r>
        <w:rPr>
          <w:rFonts w:hint="eastAsia" w:ascii="Times New Roman" w:hAnsi="Times New Roman" w:eastAsia="宋体" w:cs="Times New Roman"/>
          <w:color w:val="auto"/>
          <w:kern w:val="2"/>
          <w:sz w:val="21"/>
          <w:szCs w:val="21"/>
          <w:highlight w:val="none"/>
          <w:shd w:val="clear" w:color="auto" w:fill="auto"/>
          <w:lang w:val="en-US" w:eastAsia="zh-CN" w:bidi="ar"/>
        </w:rPr>
        <w:t>由</w:t>
      </w:r>
      <w:r>
        <w:rPr>
          <w:rFonts w:hint="default" w:ascii="Times New Roman" w:hAnsi="Times New Roman" w:eastAsia="宋体" w:cs="Times New Roman"/>
          <w:color w:val="auto"/>
          <w:kern w:val="2"/>
          <w:sz w:val="21"/>
          <w:szCs w:val="21"/>
          <w:highlight w:val="none"/>
          <w:shd w:val="clear" w:color="auto" w:fill="auto"/>
          <w:lang w:val="en-US" w:eastAsia="zh-CN" w:bidi="ar"/>
        </w:rPr>
        <w:t>本院神经电生理室利用Synergy T-EP EMG/EP Monitoring Systems肌电图仪</w:t>
      </w:r>
      <w:r>
        <w:rPr>
          <w:rFonts w:hint="eastAsia" w:ascii="Times New Roman" w:hAnsi="Times New Roman" w:eastAsia="宋体" w:cs="Times New Roman"/>
          <w:color w:val="auto"/>
          <w:kern w:val="2"/>
          <w:sz w:val="21"/>
          <w:szCs w:val="21"/>
          <w:highlight w:val="none"/>
          <w:shd w:val="clear" w:color="auto" w:fill="auto"/>
          <w:lang w:val="en-US" w:eastAsia="zh-CN" w:bidi="ar"/>
        </w:rPr>
        <w:t>（型号：Synergy T-EP，美国Natus Medical Incorporated）</w:t>
      </w:r>
      <w:r>
        <w:rPr>
          <w:rFonts w:hint="default" w:ascii="Times New Roman" w:hAnsi="Times New Roman" w:eastAsia="宋体" w:cs="Times New Roman"/>
          <w:color w:val="auto"/>
          <w:kern w:val="2"/>
          <w:sz w:val="21"/>
          <w:szCs w:val="21"/>
          <w:highlight w:val="none"/>
          <w:shd w:val="clear" w:color="auto" w:fill="auto"/>
          <w:lang w:val="en-US" w:eastAsia="zh-CN" w:bidi="ar"/>
        </w:rPr>
        <w:t>进行肌电图检测后确定。②在治疗期间，患侧上肢能够观察到腕关节背伸和肩关节外展的动作。刺激参数设定为频率30</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Hz，脉冲宽度300</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μs，刺激强度根据患者耐受度个体化调整，以引起明显肌肉收缩但不引起不适为度（通常为15</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35</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mA），通电与断电的时间比为5</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s开/5</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s关，波形上升与下降时间均为1</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s。FES治疗每天1次，每次30</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min，每周5次，</w:t>
      </w:r>
      <w:r>
        <w:rPr>
          <w:rFonts w:hint="eastAsia" w:ascii="Times New Roman" w:hAnsi="Times New Roman" w:eastAsia="宋体" w:cs="Times New Roman"/>
          <w:color w:val="auto"/>
          <w:kern w:val="2"/>
          <w:sz w:val="21"/>
          <w:szCs w:val="21"/>
          <w:highlight w:val="none"/>
          <w:shd w:val="clear" w:color="auto" w:fill="auto"/>
          <w:lang w:val="en-US" w:eastAsia="zh-CN" w:bidi="ar"/>
        </w:rPr>
        <w:t>持续</w:t>
      </w:r>
      <w:r>
        <w:rPr>
          <w:rFonts w:hint="default" w:ascii="Times New Roman" w:hAnsi="Times New Roman" w:eastAsia="宋体" w:cs="Times New Roman"/>
          <w:color w:val="auto"/>
          <w:kern w:val="2"/>
          <w:sz w:val="21"/>
          <w:szCs w:val="21"/>
          <w:highlight w:val="none"/>
          <w:shd w:val="clear" w:color="auto" w:fill="auto"/>
          <w:lang w:val="en-US" w:eastAsia="zh-CN" w:bidi="ar"/>
        </w:rPr>
        <w:t>3周。</w:t>
      </w:r>
    </w:p>
    <w:p w14:paraId="6660AF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color w:val="auto"/>
          <w:kern w:val="2"/>
          <w:sz w:val="21"/>
          <w:szCs w:val="21"/>
          <w:highlight w:val="none"/>
          <w:shd w:val="clear" w:color="auto" w:fill="auto"/>
          <w:lang w:val="en-US" w:eastAsia="zh-CN" w:bidi="ar"/>
        </w:rPr>
        <w:t>三、</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观察指标</w:t>
      </w:r>
      <w:bookmarkEnd w:id="58"/>
    </w:p>
    <w:p w14:paraId="64B942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
        </w:rPr>
      </w:pPr>
      <w:r>
        <w:rPr>
          <w:rFonts w:hint="default" w:ascii="Times New Roman" w:hAnsi="Times New Roman" w:eastAsia="宋体" w:cs="Times New Roman"/>
          <w:b w:val="0"/>
          <w:bCs/>
          <w:color w:val="auto"/>
          <w:kern w:val="2"/>
          <w:sz w:val="21"/>
          <w:szCs w:val="21"/>
          <w:highlight w:val="none"/>
          <w:shd w:val="clear" w:color="auto" w:fill="auto"/>
          <w:lang w:val="en-US" w:eastAsia="zh-CN" w:bidi="ar"/>
        </w:rPr>
        <w:t>1</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手</w:t>
      </w:r>
      <w:bookmarkEnd w:id="59"/>
      <w:r>
        <w:rPr>
          <w:rFonts w:hint="default" w:ascii="Times New Roman" w:hAnsi="Times New Roman" w:eastAsia="宋体" w:cs="Times New Roman"/>
          <w:b w:val="0"/>
          <w:bCs/>
          <w:color w:val="auto"/>
          <w:kern w:val="2"/>
          <w:sz w:val="21"/>
          <w:szCs w:val="21"/>
          <w:highlight w:val="none"/>
          <w:shd w:val="clear" w:color="auto" w:fill="auto"/>
          <w:lang w:val="en-US" w:eastAsia="zh-CN" w:bidi="ar"/>
        </w:rPr>
        <w:t>部力量</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分别于干预前</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和</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干预3周后，</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采用</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电子握力测试仪</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w:t>
      </w:r>
      <w:r>
        <w:rPr>
          <w:rFonts w:hint="eastAsia" w:ascii="Times New Roman" w:hAnsi="Times New Roman" w:eastAsia="宋体" w:cs="Times New Roman"/>
          <w:color w:val="auto"/>
          <w:kern w:val="2"/>
          <w:sz w:val="21"/>
          <w:szCs w:val="21"/>
          <w:highlight w:val="none"/>
          <w:shd w:val="clear" w:color="auto" w:fill="auto"/>
          <w:lang w:val="en-US" w:eastAsia="zh-CN" w:bidi="ar"/>
        </w:rPr>
        <w:t>型号：Jamar Plus+，美国Jama</w:t>
      </w:r>
      <w:r>
        <w:rPr>
          <w:rFonts w:hint="eastAsia" w:ascii="Times New Roman" w:hAnsi="Times New Roman" w:eastAsia="宋体" w:cs="Times New Roman"/>
          <w:color w:val="auto"/>
          <w:kern w:val="2"/>
          <w:sz w:val="21"/>
          <w:szCs w:val="21"/>
          <w:highlight w:val="none"/>
          <w:shd w:val="clear" w:color="auto" w:fill="auto"/>
          <w:lang w:val="en-US" w:eastAsia="zh-CN" w:bidi="ar"/>
        </w:rPr>
        <w:t>r (</w:t>
      </w:r>
      <w:bookmarkEnd w:id="60"/>
      <w:r>
        <w:rPr>
          <w:rFonts w:hint="eastAsia" w:ascii="Times New Roman" w:hAnsi="Times New Roman" w:eastAsia="宋体" w:cs="Times New Roman"/>
          <w:color w:val="auto"/>
          <w:kern w:val="2"/>
          <w:sz w:val="21"/>
          <w:szCs w:val="21"/>
          <w:highlight w:val="none"/>
          <w:shd w:val="clear" w:color="auto" w:fill="auto"/>
          <w:lang w:val="en-US" w:eastAsia="zh-CN" w:bidi="ar"/>
        </w:rPr>
        <w:t>Performance Health)]</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检测2组患者的</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最大握力，</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采用</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液压捏力计</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w:t>
      </w:r>
      <w:r>
        <w:rPr>
          <w:rFonts w:hint="eastAsia" w:ascii="Times New Roman" w:hAnsi="Times New Roman" w:eastAsia="宋体" w:cs="Times New Roman"/>
          <w:color w:val="auto"/>
          <w:kern w:val="2"/>
          <w:sz w:val="21"/>
          <w:szCs w:val="21"/>
          <w:highlight w:val="none"/>
          <w:shd w:val="clear" w:color="auto" w:fill="auto"/>
          <w:lang w:val="en-US" w:eastAsia="zh-CN" w:bidi="ar"/>
        </w:rPr>
        <w:t>型号：Jamar Hydraulic，美国Jama</w:t>
      </w:r>
      <w:r>
        <w:rPr>
          <w:rFonts w:hint="eastAsia" w:ascii="Times New Roman" w:hAnsi="Times New Roman" w:eastAsia="宋体" w:cs="Times New Roman"/>
          <w:color w:val="auto"/>
          <w:kern w:val="2"/>
          <w:sz w:val="21"/>
          <w:szCs w:val="21"/>
          <w:highlight w:val="none"/>
          <w:shd w:val="clear" w:color="auto" w:fill="auto"/>
          <w:lang w:val="en-US" w:eastAsia="zh-CN" w:bidi="ar"/>
        </w:rPr>
        <w:t>r (</w:t>
      </w:r>
      <w:bookmarkEnd w:id="61"/>
      <w:r>
        <w:rPr>
          <w:rFonts w:hint="eastAsia" w:ascii="Times New Roman" w:hAnsi="Times New Roman" w:eastAsia="宋体" w:cs="Times New Roman"/>
          <w:color w:val="auto"/>
          <w:kern w:val="2"/>
          <w:sz w:val="21"/>
          <w:szCs w:val="21"/>
          <w:highlight w:val="none"/>
          <w:shd w:val="clear" w:color="auto" w:fill="auto"/>
          <w:lang w:val="en-US" w:eastAsia="zh-CN" w:bidi="ar"/>
        </w:rPr>
        <w:t>Performance Health)</w:t>
      </w:r>
      <w:r>
        <w:rPr>
          <w:rFonts w:hint="eastAsia" w:ascii="Times New Roman" w:hAnsi="Times New Roman" w:eastAsia="宋体"/>
          <w:color w:val="auto"/>
          <w:sz w:val="21"/>
          <w:highlight w:val="none"/>
          <w:shd w:val="clear" w:color="auto" w:fill="auto"/>
          <w:lang w:val="en-US" w:eastAsia="zh-CN"/>
        </w:rPr>
        <w:t>]</w:t>
      </w:r>
      <w:r>
        <w:rPr>
          <w:rFonts w:hint="eastAsia" w:ascii="Times New Roman" w:hAnsi="Times New Roman" w:eastAsia="宋体" w:cs="Times New Roman"/>
          <w:color w:val="auto"/>
          <w:kern w:val="2"/>
          <w:sz w:val="21"/>
          <w:szCs w:val="21"/>
          <w:highlight w:val="none"/>
          <w:shd w:val="clear" w:color="auto" w:fill="auto"/>
          <w:lang w:val="en-US" w:eastAsia="zh-CN" w:bidi="ar"/>
        </w:rPr>
        <w:t>检测</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2组患者的</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最大捏力。</w:t>
      </w:r>
    </w:p>
    <w:p w14:paraId="0F943A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Times New Roman" w:hAnsi="Times New Roman" w:eastAsia="宋体" w:cs="Times New Roman"/>
          <w:b w:val="0"/>
          <w:bCs/>
          <w:color w:val="auto"/>
          <w:kern w:val="2"/>
          <w:sz w:val="21"/>
          <w:szCs w:val="21"/>
          <w:highlight w:val="none"/>
          <w:shd w:val="clear" w:color="auto" w:fill="auto"/>
          <w:lang w:val="en-US" w:eastAsia="zh-CN" w:bidi="ar"/>
        </w:rPr>
      </w:pPr>
      <w:r>
        <w:rPr>
          <w:rFonts w:hint="default" w:ascii="Times New Roman" w:hAnsi="Times New Roman" w:eastAsia="宋体" w:cs="Times New Roman"/>
          <w:b w:val="0"/>
          <w:bCs/>
          <w:color w:val="auto"/>
          <w:kern w:val="2"/>
          <w:sz w:val="21"/>
          <w:szCs w:val="21"/>
          <w:highlight w:val="none"/>
          <w:shd w:val="clear" w:color="auto" w:fill="auto"/>
          <w:lang w:val="en-US" w:eastAsia="zh-CN" w:bidi="ar"/>
        </w:rPr>
        <w:t>2</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运</w:t>
      </w:r>
      <w:bookmarkEnd w:id="62"/>
      <w:r>
        <w:rPr>
          <w:rFonts w:hint="default" w:ascii="Times New Roman" w:hAnsi="Times New Roman" w:eastAsia="宋体" w:cs="Times New Roman"/>
          <w:b w:val="0"/>
          <w:bCs/>
          <w:color w:val="auto"/>
          <w:kern w:val="2"/>
          <w:sz w:val="21"/>
          <w:szCs w:val="21"/>
          <w:highlight w:val="none"/>
          <w:shd w:val="clear" w:color="auto" w:fill="auto"/>
          <w:lang w:val="en-US" w:eastAsia="zh-CN" w:bidi="ar"/>
        </w:rPr>
        <w:t>动功能和肌张力</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分别于干预前</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和</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干预3周后，</w:t>
      </w:r>
      <w:r>
        <w:rPr>
          <w:rFonts w:hint="default" w:ascii="Times New Roman" w:hAnsi="Times New Roman" w:eastAsia="宋体" w:cs="Times New Roman"/>
          <w:i w:val="0"/>
          <w:iCs w:val="0"/>
          <w:caps w:val="0"/>
          <w:color w:val="auto"/>
          <w:spacing w:val="0"/>
          <w:sz w:val="21"/>
          <w:szCs w:val="21"/>
          <w:highlight w:val="none"/>
          <w:shd w:val="clear" w:color="auto" w:fill="auto"/>
        </w:rPr>
        <w:t>采用FMA-UE</w:t>
      </w:r>
      <w:r>
        <w:rPr>
          <w:rFonts w:hint="default" w:ascii="Times New Roman" w:hAnsi="Times New Roman" w:eastAsia="宋体" w:cs="Times New Roman"/>
          <w:i w:val="0"/>
          <w:iCs w:val="0"/>
          <w:caps w:val="0"/>
          <w:color w:val="auto"/>
          <w:spacing w:val="0"/>
          <w:sz w:val="21"/>
          <w:szCs w:val="21"/>
          <w:highlight w:val="none"/>
          <w:shd w:val="clear" w:color="auto" w:fill="auto"/>
          <w:lang w:eastAsia="zh-CN"/>
        </w:rPr>
        <w:t>评分</w:t>
      </w:r>
      <w:r>
        <w:rPr>
          <w:rFonts w:hint="default" w:ascii="Times New Roman" w:hAnsi="Times New Roman" w:eastAsia="宋体" w:cs="Times New Roman"/>
          <w:i w:val="0"/>
          <w:iCs w:val="0"/>
          <w:caps w:val="0"/>
          <w:color w:val="auto"/>
          <w:spacing w:val="0"/>
          <w:sz w:val="21"/>
          <w:szCs w:val="21"/>
          <w:highlight w:val="none"/>
          <w:shd w:val="clear" w:color="auto" w:fill="auto"/>
        </w:rPr>
        <w:t>评估</w:t>
      </w:r>
      <w:r>
        <w:rPr>
          <w:rFonts w:hint="eastAsia" w:ascii="Times New Roman" w:hAnsi="Times New Roman" w:eastAsia="宋体" w:cs="Times New Roman"/>
          <w:i w:val="0"/>
          <w:iCs w:val="0"/>
          <w:caps w:val="0"/>
          <w:color w:val="auto"/>
          <w:spacing w:val="0"/>
          <w:sz w:val="21"/>
          <w:szCs w:val="21"/>
          <w:highlight w:val="none"/>
          <w:shd w:val="clear" w:color="auto" w:fill="auto"/>
          <w:lang w:eastAsia="zh-CN"/>
        </w:rPr>
        <w:t>2组</w:t>
      </w:r>
      <w:r>
        <w:rPr>
          <w:rFonts w:hint="default" w:ascii="Times New Roman" w:hAnsi="Times New Roman" w:eastAsia="宋体" w:cs="Times New Roman"/>
          <w:i w:val="0"/>
          <w:iCs w:val="0"/>
          <w:caps w:val="0"/>
          <w:color w:val="auto"/>
          <w:spacing w:val="0"/>
          <w:sz w:val="21"/>
          <w:szCs w:val="21"/>
          <w:highlight w:val="none"/>
          <w:shd w:val="clear" w:color="auto" w:fill="auto"/>
        </w:rPr>
        <w:t>患者的上肢运动功能；采用改良Ashworth量表（</w:t>
      </w:r>
      <w:r>
        <w:rPr>
          <w:rFonts w:hint="default" w:ascii="Times New Roman" w:hAnsi="Times New Roman" w:eastAsia="宋体" w:cs="Times New Roman"/>
          <w:i w:val="0"/>
          <w:iCs w:val="0"/>
          <w:color w:val="auto"/>
          <w:spacing w:val="0"/>
          <w:sz w:val="21"/>
          <w:szCs w:val="21"/>
          <w:highlight w:val="none"/>
          <w:shd w:val="clear" w:color="auto" w:fill="auto"/>
        </w:rPr>
        <w:t>m</w:t>
      </w:r>
      <w:r>
        <w:rPr>
          <w:rFonts w:hint="default" w:ascii="Times New Roman" w:hAnsi="Times New Roman" w:eastAsia="宋体" w:cs="Times New Roman"/>
          <w:i w:val="0"/>
          <w:iCs w:val="0"/>
          <w:caps w:val="0"/>
          <w:color w:val="auto"/>
          <w:spacing w:val="0"/>
          <w:sz w:val="21"/>
          <w:szCs w:val="21"/>
          <w:highlight w:val="none"/>
          <w:shd w:val="clear" w:color="auto" w:fill="auto"/>
        </w:rPr>
        <w:t>odified Ashworth</w:t>
      </w:r>
      <w:r>
        <w:rPr>
          <w:rFonts w:hint="default" w:ascii="Times New Roman" w:hAnsi="Times New Roman" w:eastAsia="宋体" w:cs="Times New Roman"/>
          <w:i w:val="0"/>
          <w:iCs w:val="0"/>
          <w:color w:val="auto"/>
          <w:spacing w:val="0"/>
          <w:sz w:val="21"/>
          <w:szCs w:val="21"/>
          <w:highlight w:val="none"/>
          <w:shd w:val="clear" w:color="auto" w:fill="auto"/>
        </w:rPr>
        <w:t xml:space="preserve"> s</w:t>
      </w:r>
      <w:r>
        <w:rPr>
          <w:rFonts w:hint="default" w:ascii="Times New Roman" w:hAnsi="Times New Roman" w:eastAsia="宋体" w:cs="Times New Roman"/>
          <w:i w:val="0"/>
          <w:iCs w:val="0"/>
          <w:caps w:val="0"/>
          <w:color w:val="auto"/>
          <w:spacing w:val="0"/>
          <w:sz w:val="21"/>
          <w:szCs w:val="21"/>
          <w:highlight w:val="none"/>
          <w:shd w:val="clear" w:color="auto" w:fill="auto"/>
        </w:rPr>
        <w:t>cale</w:t>
      </w:r>
      <w:r>
        <w:rPr>
          <w:rFonts w:hint="eastAsia" w:ascii="Times New Roman" w:hAnsi="Times New Roman" w:cs="Times New Roman"/>
          <w:i w:val="0"/>
          <w:iCs w:val="0"/>
          <w:caps w:val="0"/>
          <w:color w:val="auto"/>
          <w:spacing w:val="0"/>
          <w:sz w:val="21"/>
          <w:szCs w:val="21"/>
          <w:highlight w:val="none"/>
          <w:shd w:val="clear" w:color="auto" w:fill="auto"/>
          <w:lang w:eastAsia="zh-CN"/>
        </w:rPr>
        <w:t>，</w:t>
      </w:r>
      <w:bookmarkEnd w:id="63"/>
      <w:r>
        <w:rPr>
          <w:rFonts w:hint="default" w:ascii="Times New Roman" w:hAnsi="Times New Roman" w:eastAsia="宋体" w:cs="Times New Roman"/>
          <w:i w:val="0"/>
          <w:iCs w:val="0"/>
          <w:caps w:val="0"/>
          <w:color w:val="auto"/>
          <w:spacing w:val="0"/>
          <w:sz w:val="21"/>
          <w:szCs w:val="21"/>
          <w:highlight w:val="none"/>
          <w:shd w:val="clear" w:color="auto" w:fill="auto"/>
        </w:rPr>
        <w:t>MAS）</w:t>
      </w:r>
      <w:r>
        <w:rPr>
          <w:rFonts w:hint="default" w:ascii="Times New Roman" w:hAnsi="Times New Roman" w:eastAsia="宋体" w:cs="Times New Roman"/>
          <w:i w:val="0"/>
          <w:iCs w:val="0"/>
          <w:caps w:val="0"/>
          <w:color w:val="auto"/>
          <w:spacing w:val="0"/>
          <w:sz w:val="21"/>
          <w:szCs w:val="21"/>
          <w:highlight w:val="none"/>
          <w:shd w:val="clear" w:color="auto" w:fill="auto"/>
          <w:vertAlign w:val="superscript"/>
        </w:rPr>
        <w:t>[</w:t>
      </w:r>
      <w:r>
        <w:rPr>
          <w:rFonts w:hint="default" w:ascii="Times New Roman" w:hAnsi="Times New Roman" w:eastAsia="宋体" w:cs="Times New Roman"/>
          <w:i w:val="0"/>
          <w:iCs w:val="0"/>
          <w:caps w:val="0"/>
          <w:color w:val="auto"/>
          <w:spacing w:val="0"/>
          <w:sz w:val="21"/>
          <w:szCs w:val="21"/>
          <w:highlight w:val="none"/>
          <w:shd w:val="clear" w:color="auto" w:fill="auto"/>
          <w:vertAlign w:val="superscript"/>
          <w:lang w:val="en-US" w:eastAsia="zh-CN"/>
        </w:rPr>
        <w:t>11</w:t>
      </w:r>
      <w:r>
        <w:rPr>
          <w:rFonts w:hint="default" w:ascii="Times New Roman" w:hAnsi="Times New Roman" w:eastAsia="宋体" w:cs="Times New Roman"/>
          <w:i w:val="0"/>
          <w:iCs w:val="0"/>
          <w:caps w:val="0"/>
          <w:color w:val="auto"/>
          <w:spacing w:val="0"/>
          <w:sz w:val="21"/>
          <w:szCs w:val="21"/>
          <w:highlight w:val="none"/>
          <w:shd w:val="clear" w:color="auto" w:fill="auto"/>
          <w:vertAlign w:val="superscript"/>
        </w:rPr>
        <w:t>]</w:t>
      </w:r>
      <w:r>
        <w:rPr>
          <w:rFonts w:hint="default" w:ascii="Times New Roman" w:hAnsi="Times New Roman" w:eastAsia="宋体" w:cs="Times New Roman"/>
          <w:i w:val="0"/>
          <w:iCs w:val="0"/>
          <w:caps w:val="0"/>
          <w:color w:val="auto"/>
          <w:spacing w:val="0"/>
          <w:sz w:val="21"/>
          <w:szCs w:val="21"/>
          <w:highlight w:val="none"/>
          <w:shd w:val="clear" w:color="auto" w:fill="auto"/>
        </w:rPr>
        <w:t>评估</w:t>
      </w:r>
      <w:r>
        <w:rPr>
          <w:rFonts w:hint="eastAsia" w:ascii="Times New Roman" w:hAnsi="Times New Roman" w:eastAsia="宋体" w:cs="Times New Roman"/>
          <w:i w:val="0"/>
          <w:iCs w:val="0"/>
          <w:caps w:val="0"/>
          <w:color w:val="auto"/>
          <w:spacing w:val="0"/>
          <w:sz w:val="21"/>
          <w:szCs w:val="21"/>
          <w:highlight w:val="none"/>
          <w:shd w:val="clear" w:color="auto" w:fill="auto"/>
          <w:lang w:eastAsia="zh-CN"/>
        </w:rPr>
        <w:t>2组</w:t>
      </w:r>
      <w:r>
        <w:rPr>
          <w:rFonts w:hint="default" w:ascii="Times New Roman" w:hAnsi="Times New Roman" w:eastAsia="宋体" w:cs="Times New Roman"/>
          <w:i w:val="0"/>
          <w:iCs w:val="0"/>
          <w:caps w:val="0"/>
          <w:color w:val="auto"/>
          <w:spacing w:val="0"/>
          <w:sz w:val="21"/>
          <w:szCs w:val="21"/>
          <w:highlight w:val="none"/>
          <w:shd w:val="clear" w:color="auto" w:fill="auto"/>
        </w:rPr>
        <w:t>患者上肢肘屈肌肌张力。</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其中，FMA</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-UA</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包含10个项目，上肢运动功能评定总分为66分，分数越低</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表示患者的</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上肢运动功能障碍越严重</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w:t>
      </w:r>
      <w:r>
        <w:rPr>
          <w:rFonts w:ascii="Times New Roman" w:hAnsi="Times New Roman" w:eastAsia="宋体" w:cs="Segoe UI"/>
          <w:i w:val="0"/>
          <w:iCs w:val="0"/>
          <w:caps w:val="0"/>
          <w:color w:val="auto"/>
          <w:spacing w:val="0"/>
          <w:sz w:val="21"/>
          <w:szCs w:val="21"/>
          <w:highlight w:val="none"/>
          <w:shd w:val="clear" w:color="auto" w:fill="auto"/>
        </w:rPr>
        <w:t>MAS将肌张力分为0、1、1+、2、3、4级共6个等级，分别计0、1</w:t>
      </w:r>
      <w:r>
        <w:rPr>
          <w:rFonts w:hint="eastAsia" w:ascii="Times New Roman" w:hAnsi="Times New Roman" w:cs="Segoe UI"/>
          <w:i w:val="0"/>
          <w:iCs w:val="0"/>
          <w:caps w:val="0"/>
          <w:color w:val="auto"/>
          <w:spacing w:val="0"/>
          <w:sz w:val="21"/>
          <w:szCs w:val="21"/>
          <w:highlight w:val="none"/>
          <w:shd w:val="clear" w:color="auto" w:fill="auto"/>
          <w:lang w:val="en-US" w:eastAsia="zh-CN"/>
        </w:rPr>
        <w:t>.0</w:t>
      </w:r>
      <w:r>
        <w:rPr>
          <w:rFonts w:ascii="Times New Roman" w:hAnsi="Times New Roman" w:eastAsia="宋体" w:cs="Segoe UI"/>
          <w:i w:val="0"/>
          <w:iCs w:val="0"/>
          <w:caps w:val="0"/>
          <w:color w:val="auto"/>
          <w:spacing w:val="0"/>
          <w:sz w:val="21"/>
          <w:szCs w:val="21"/>
          <w:highlight w:val="none"/>
          <w:shd w:val="clear" w:color="auto" w:fill="auto"/>
        </w:rPr>
        <w:t>、1.5、2</w:t>
      </w:r>
      <w:r>
        <w:rPr>
          <w:rFonts w:hint="eastAsia" w:ascii="Times New Roman" w:hAnsi="Times New Roman" w:cs="Segoe UI"/>
          <w:i w:val="0"/>
          <w:iCs w:val="0"/>
          <w:caps w:val="0"/>
          <w:color w:val="auto"/>
          <w:spacing w:val="0"/>
          <w:sz w:val="21"/>
          <w:szCs w:val="21"/>
          <w:highlight w:val="none"/>
          <w:shd w:val="clear" w:color="auto" w:fill="auto"/>
          <w:lang w:val="en-US" w:eastAsia="zh-CN"/>
        </w:rPr>
        <w:t>.0</w:t>
      </w:r>
      <w:r>
        <w:rPr>
          <w:rFonts w:ascii="Times New Roman" w:hAnsi="Times New Roman" w:eastAsia="宋体" w:cs="Segoe UI"/>
          <w:i w:val="0"/>
          <w:iCs w:val="0"/>
          <w:caps w:val="0"/>
          <w:color w:val="auto"/>
          <w:spacing w:val="0"/>
          <w:sz w:val="21"/>
          <w:szCs w:val="21"/>
          <w:highlight w:val="none"/>
          <w:shd w:val="clear" w:color="auto" w:fill="auto"/>
        </w:rPr>
        <w:t>、3</w:t>
      </w:r>
      <w:r>
        <w:rPr>
          <w:rFonts w:hint="eastAsia" w:ascii="Times New Roman" w:hAnsi="Times New Roman" w:cs="Segoe UI"/>
          <w:i w:val="0"/>
          <w:iCs w:val="0"/>
          <w:caps w:val="0"/>
          <w:color w:val="auto"/>
          <w:spacing w:val="0"/>
          <w:sz w:val="21"/>
          <w:szCs w:val="21"/>
          <w:highlight w:val="none"/>
          <w:shd w:val="clear" w:color="auto" w:fill="auto"/>
          <w:lang w:val="en-US" w:eastAsia="zh-CN"/>
        </w:rPr>
        <w:t>.0</w:t>
      </w:r>
      <w:r>
        <w:rPr>
          <w:rFonts w:ascii="Times New Roman" w:hAnsi="Times New Roman" w:eastAsia="宋体" w:cs="Segoe UI"/>
          <w:i w:val="0"/>
          <w:iCs w:val="0"/>
          <w:caps w:val="0"/>
          <w:color w:val="auto"/>
          <w:spacing w:val="0"/>
          <w:sz w:val="21"/>
          <w:szCs w:val="21"/>
          <w:highlight w:val="none"/>
          <w:shd w:val="clear" w:color="auto" w:fill="auto"/>
        </w:rPr>
        <w:t>、4</w:t>
      </w:r>
      <w:r>
        <w:rPr>
          <w:rFonts w:hint="eastAsia" w:ascii="Times New Roman" w:hAnsi="Times New Roman" w:cs="Segoe UI"/>
          <w:i w:val="0"/>
          <w:iCs w:val="0"/>
          <w:caps w:val="0"/>
          <w:color w:val="auto"/>
          <w:spacing w:val="0"/>
          <w:sz w:val="21"/>
          <w:szCs w:val="21"/>
          <w:highlight w:val="none"/>
          <w:shd w:val="clear" w:color="auto" w:fill="auto"/>
          <w:lang w:val="en-US" w:eastAsia="zh-CN"/>
        </w:rPr>
        <w:t>.0</w:t>
      </w:r>
      <w:r>
        <w:rPr>
          <w:rFonts w:ascii="Times New Roman" w:hAnsi="Times New Roman" w:eastAsia="宋体" w:cs="Segoe UI"/>
          <w:i w:val="0"/>
          <w:iCs w:val="0"/>
          <w:caps w:val="0"/>
          <w:color w:val="auto"/>
          <w:spacing w:val="0"/>
          <w:sz w:val="21"/>
          <w:szCs w:val="21"/>
          <w:highlight w:val="none"/>
          <w:shd w:val="clear" w:color="auto" w:fill="auto"/>
        </w:rPr>
        <w:t>分，级别越高肌张力越高</w:t>
      </w:r>
      <w:r>
        <w:rPr>
          <w:rFonts w:hint="eastAsia" w:ascii="Times New Roman" w:hAnsi="Times New Roman" w:eastAsia="宋体"/>
          <w:color w:val="auto"/>
          <w:sz w:val="21"/>
          <w:highlight w:val="none"/>
          <w:shd w:val="clear" w:color="auto" w:fill="auto"/>
          <w:lang w:eastAsia="zh-CN"/>
        </w:rPr>
        <w:t>。</w:t>
      </w:r>
    </w:p>
    <w:p w14:paraId="5DB9F4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
        </w:rPr>
      </w:pPr>
      <w:r>
        <w:rPr>
          <w:rFonts w:hint="default" w:ascii="Times New Roman" w:hAnsi="Times New Roman" w:eastAsia="宋体" w:cs="Times New Roman"/>
          <w:b w:val="0"/>
          <w:bCs/>
          <w:color w:val="auto"/>
          <w:kern w:val="2"/>
          <w:sz w:val="21"/>
          <w:szCs w:val="21"/>
          <w:highlight w:val="none"/>
          <w:shd w:val="clear" w:color="auto" w:fill="auto"/>
          <w:lang w:val="en-US" w:eastAsia="zh-CN" w:bidi="ar"/>
        </w:rPr>
        <w:t>3</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腕</w:t>
      </w:r>
      <w:bookmarkEnd w:id="64"/>
      <w:r>
        <w:rPr>
          <w:rFonts w:hint="default" w:ascii="Times New Roman" w:hAnsi="Times New Roman" w:eastAsia="宋体" w:cs="Times New Roman"/>
          <w:b w:val="0"/>
          <w:bCs/>
          <w:color w:val="auto"/>
          <w:kern w:val="2"/>
          <w:sz w:val="21"/>
          <w:szCs w:val="21"/>
          <w:highlight w:val="none"/>
          <w:shd w:val="clear" w:color="auto" w:fill="auto"/>
          <w:lang w:val="en-US" w:eastAsia="zh-CN" w:bidi="ar"/>
        </w:rPr>
        <w:t>屈伸力量</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分别于干预前</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和</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干预3周后，采用等速肌力训练系统</w:t>
      </w:r>
      <w:r>
        <w:rPr>
          <w:rFonts w:hint="eastAsia" w:ascii="Times New Roman" w:hAnsi="Times New Roman" w:eastAsia="宋体" w:cs="Times New Roman"/>
          <w:color w:val="auto"/>
          <w:kern w:val="2"/>
          <w:sz w:val="21"/>
          <w:szCs w:val="21"/>
          <w:highlight w:val="none"/>
          <w:shd w:val="clear" w:color="auto" w:fill="auto"/>
          <w:lang w:val="en-US" w:eastAsia="zh-CN" w:bidi="ar"/>
        </w:rPr>
        <w:t>（型号：</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Iso Med2000</w:t>
      </w:r>
      <w:r>
        <w:rPr>
          <w:rFonts w:hint="eastAsia" w:ascii="Times New Roman" w:hAnsi="Times New Roman" w:eastAsia="宋体" w:cs="Times New Roman"/>
          <w:color w:val="auto"/>
          <w:kern w:val="2"/>
          <w:sz w:val="21"/>
          <w:szCs w:val="21"/>
          <w:highlight w:val="none"/>
          <w:shd w:val="clear" w:color="auto" w:fill="auto"/>
          <w:lang w:val="en-US" w:eastAsia="zh-CN" w:bidi="ar"/>
        </w:rPr>
        <w:t>，德国D&amp;R Ferstl GmbH）</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通过</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标准肘屈伸等速向心收缩测试程序检测</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2组患者</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的峰力矩（peak torque</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bookmarkEnd w:id="65"/>
      <w:r>
        <w:rPr>
          <w:rFonts w:hint="default" w:ascii="Times New Roman" w:hAnsi="Times New Roman" w:eastAsia="宋体" w:cs="Times New Roman"/>
          <w:b w:val="0"/>
          <w:bCs/>
          <w:color w:val="auto"/>
          <w:kern w:val="2"/>
          <w:sz w:val="21"/>
          <w:szCs w:val="21"/>
          <w:highlight w:val="none"/>
          <w:shd w:val="clear" w:color="auto" w:fill="auto"/>
          <w:lang w:val="en-US" w:eastAsia="zh-CN" w:bidi="ar"/>
        </w:rPr>
        <w:t>PT）、总功</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率</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（total work</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bookmarkEnd w:id="66"/>
      <w:r>
        <w:rPr>
          <w:rFonts w:hint="default" w:ascii="Times New Roman" w:hAnsi="Times New Roman" w:eastAsia="宋体" w:cs="Times New Roman"/>
          <w:b w:val="0"/>
          <w:bCs/>
          <w:color w:val="auto"/>
          <w:kern w:val="2"/>
          <w:sz w:val="21"/>
          <w:szCs w:val="21"/>
          <w:highlight w:val="none"/>
          <w:shd w:val="clear" w:color="auto" w:fill="auto"/>
          <w:lang w:val="en-US" w:eastAsia="zh-CN" w:bidi="ar"/>
        </w:rPr>
        <w:t>TW）、平均功率（average power</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bookmarkEnd w:id="67"/>
      <w:r>
        <w:rPr>
          <w:rFonts w:hint="default" w:ascii="Times New Roman" w:hAnsi="Times New Roman" w:eastAsia="宋体" w:cs="Times New Roman"/>
          <w:b w:val="0"/>
          <w:bCs/>
          <w:color w:val="auto"/>
          <w:kern w:val="2"/>
          <w:sz w:val="21"/>
          <w:szCs w:val="21"/>
          <w:highlight w:val="none"/>
          <w:shd w:val="clear" w:color="auto" w:fill="auto"/>
          <w:lang w:val="en-US" w:eastAsia="zh-CN" w:bidi="ar"/>
        </w:rPr>
        <w:t>AP）。以60</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°/s角速度测试，屈、伸肘6次，中间休息36 s，分别观察并记录屈、伸状态下的PT、TW、AP。</w:t>
      </w:r>
      <w:r>
        <w:rPr>
          <w:rFonts w:hint="eastAsia" w:ascii="Times New Roman" w:hAnsi="Times New Roman" w:cs="Times New Roman"/>
          <w:b w:val="0"/>
          <w:bCs/>
          <w:color w:val="auto"/>
          <w:kern w:val="2"/>
          <w:sz w:val="21"/>
          <w:szCs w:val="21"/>
          <w:highlight w:val="none"/>
          <w:shd w:val="clear" w:color="auto" w:fill="auto"/>
          <w:lang w:val="en-US" w:eastAsia="zh-CN" w:bidi="ar"/>
        </w:rPr>
        <w:t>在</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正式测试前，指导</w:t>
      </w:r>
      <w:r>
        <w:rPr>
          <w:rFonts w:hint="eastAsia" w:ascii="Times New Roman" w:hAnsi="Times New Roman" w:cs="Times New Roman"/>
          <w:b w:val="0"/>
          <w:bCs/>
          <w:color w:val="auto"/>
          <w:kern w:val="2"/>
          <w:sz w:val="21"/>
          <w:szCs w:val="21"/>
          <w:highlight w:val="none"/>
          <w:shd w:val="clear" w:color="auto" w:fill="auto"/>
          <w:lang w:val="en-US" w:eastAsia="zh-CN" w:bidi="ar"/>
        </w:rPr>
        <w:t>2组</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患者进行2次亚极量肘关节屈伸运动以熟悉操作流程，确保测试数据的准确性。</w:t>
      </w:r>
    </w:p>
    <w:p w14:paraId="4A3584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color w:val="auto"/>
          <w:kern w:val="2"/>
          <w:sz w:val="21"/>
          <w:szCs w:val="21"/>
          <w:highlight w:val="none"/>
          <w:shd w:val="clear" w:color="auto" w:fill="auto"/>
          <w:lang w:val="en-US" w:eastAsia="zh-CN" w:bidi="ar"/>
        </w:rPr>
        <w:t>4</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脑</w:t>
      </w:r>
      <w:bookmarkEnd w:id="68"/>
      <w:r>
        <w:rPr>
          <w:rFonts w:hint="default" w:ascii="Times New Roman" w:hAnsi="Times New Roman" w:eastAsia="宋体" w:cs="Times New Roman"/>
          <w:b w:val="0"/>
          <w:bCs/>
          <w:color w:val="auto"/>
          <w:kern w:val="2"/>
          <w:sz w:val="21"/>
          <w:szCs w:val="21"/>
          <w:highlight w:val="none"/>
          <w:shd w:val="clear" w:color="auto" w:fill="auto"/>
          <w:lang w:val="en-US" w:eastAsia="zh-CN" w:bidi="ar"/>
        </w:rPr>
        <w:t>血流动力学</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分别于干预前</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和</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干预3周后，采用经颅多普勒超声[transcranial Doppler</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bookmarkEnd w:id="69"/>
      <w:r>
        <w:rPr>
          <w:rFonts w:hint="default" w:ascii="Times New Roman" w:hAnsi="Times New Roman" w:eastAsia="宋体" w:cs="Times New Roman"/>
          <w:b w:val="0"/>
          <w:bCs/>
          <w:color w:val="auto"/>
          <w:kern w:val="2"/>
          <w:sz w:val="21"/>
          <w:szCs w:val="21"/>
          <w:highlight w:val="none"/>
          <w:shd w:val="clear" w:color="auto" w:fill="auto"/>
          <w:lang w:val="en-US" w:eastAsia="zh-CN" w:bidi="ar"/>
        </w:rPr>
        <w:t>TCD；</w:t>
      </w:r>
      <w:r>
        <w:rPr>
          <w:rFonts w:hint="default" w:ascii="Times New Roman" w:hAnsi="Times New Roman" w:eastAsia="宋体" w:cs="Times New Roman"/>
          <w:color w:val="auto"/>
          <w:kern w:val="2"/>
          <w:sz w:val="21"/>
          <w:szCs w:val="21"/>
          <w:highlight w:val="none"/>
          <w:shd w:val="clear" w:color="auto" w:fill="auto"/>
          <w:lang w:val="en-US" w:eastAsia="zh-CN" w:bidi="ar"/>
        </w:rPr>
        <w:t>型号：Doppler-Box X，</w:t>
      </w:r>
      <w:r>
        <w:rPr>
          <w:rFonts w:hint="default" w:ascii="Times New Roman" w:hAnsi="Times New Roman" w:eastAsia="宋体" w:cs="Times New Roman"/>
          <w:color w:val="auto"/>
          <w:sz w:val="21"/>
          <w:highlight w:val="none"/>
          <w:shd w:val="clear" w:color="auto" w:fill="auto"/>
          <w:lang w:eastAsia="zh-CN"/>
        </w:rPr>
        <w:t>德国DWL公司</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]测定</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2组患者的</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左大脑中动脉（left middle cerebral artery</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bookmarkEnd w:id="70"/>
      <w:r>
        <w:rPr>
          <w:rFonts w:hint="default" w:ascii="Times New Roman" w:hAnsi="Times New Roman" w:eastAsia="宋体" w:cs="Times New Roman"/>
          <w:b w:val="0"/>
          <w:bCs/>
          <w:color w:val="auto"/>
          <w:kern w:val="2"/>
          <w:sz w:val="21"/>
          <w:szCs w:val="21"/>
          <w:highlight w:val="none"/>
          <w:shd w:val="clear" w:color="auto" w:fill="auto"/>
          <w:lang w:val="en-US" w:eastAsia="zh-CN" w:bidi="ar"/>
        </w:rPr>
        <w:t>L-MCA）、右大脑中动脉（right middle cerebral artery</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bookmarkEnd w:id="71"/>
      <w:r>
        <w:rPr>
          <w:rFonts w:hint="default" w:ascii="Times New Roman" w:hAnsi="Times New Roman" w:eastAsia="宋体" w:cs="Times New Roman"/>
          <w:b w:val="0"/>
          <w:bCs/>
          <w:color w:val="auto"/>
          <w:kern w:val="2"/>
          <w:sz w:val="21"/>
          <w:szCs w:val="21"/>
          <w:highlight w:val="none"/>
          <w:shd w:val="clear" w:color="auto" w:fill="auto"/>
          <w:lang w:val="en-US" w:eastAsia="zh-CN" w:bidi="ar"/>
        </w:rPr>
        <w:t>R-MCA）和基底动脉（basilar artery</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bookmarkEnd w:id="72"/>
      <w:r>
        <w:rPr>
          <w:rFonts w:hint="default" w:ascii="Times New Roman" w:hAnsi="Times New Roman" w:eastAsia="宋体" w:cs="Times New Roman"/>
          <w:b w:val="0"/>
          <w:bCs/>
          <w:color w:val="auto"/>
          <w:kern w:val="2"/>
          <w:sz w:val="21"/>
          <w:szCs w:val="21"/>
          <w:highlight w:val="none"/>
          <w:shd w:val="clear" w:color="auto" w:fill="auto"/>
          <w:lang w:val="en-US" w:eastAsia="zh-CN" w:bidi="ar"/>
        </w:rPr>
        <w:t>BA）的脑血流速度。</w:t>
      </w:r>
    </w:p>
    <w:p w14:paraId="39E939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color w:val="auto"/>
          <w:kern w:val="2"/>
          <w:sz w:val="21"/>
          <w:szCs w:val="21"/>
          <w:highlight w:val="none"/>
          <w:shd w:val="clear" w:color="auto" w:fill="auto"/>
          <w:lang w:val="en-US" w:eastAsia="zh-CN" w:bidi="ar"/>
        </w:rPr>
        <w:t>5</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 安</w:t>
      </w:r>
      <w:bookmarkEnd w:id="73"/>
      <w:r>
        <w:rPr>
          <w:rFonts w:hint="eastAsia" w:ascii="Times New Roman" w:hAnsi="Times New Roman" w:eastAsia="宋体" w:cs="Times New Roman"/>
          <w:b w:val="0"/>
          <w:bCs/>
          <w:color w:val="auto"/>
          <w:kern w:val="2"/>
          <w:sz w:val="21"/>
          <w:szCs w:val="21"/>
          <w:highlight w:val="none"/>
          <w:shd w:val="clear" w:color="auto" w:fill="auto"/>
          <w:lang w:val="en-US" w:eastAsia="zh-CN" w:bidi="ar"/>
        </w:rPr>
        <w:t>全性：观察并记录2组患者干预期间不良反应的发生情况。</w:t>
      </w:r>
    </w:p>
    <w:p w14:paraId="3D30BC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Times New Roman" w:hAnsi="Times New Roman" w:eastAsia="宋体" w:cs="Times New Roman"/>
          <w:b w:val="0"/>
          <w:bCs/>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color w:val="auto"/>
          <w:kern w:val="2"/>
          <w:sz w:val="21"/>
          <w:szCs w:val="21"/>
          <w:highlight w:val="none"/>
          <w:shd w:val="clear" w:color="auto" w:fill="auto"/>
          <w:lang w:val="en-US" w:eastAsia="zh-CN" w:bidi="ar"/>
        </w:rPr>
        <w:t>四、</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统计学</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分析</w:t>
      </w:r>
      <w:bookmarkEnd w:id="74"/>
    </w:p>
    <w:p w14:paraId="0299CF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sz w:val="21"/>
          <w:szCs w:val="21"/>
          <w:highlight w:val="none"/>
          <w:shd w:val="clear" w:color="auto" w:fill="auto"/>
          <w:lang w:val="en-US"/>
        </w:rPr>
      </w:pPr>
      <w:r>
        <w:rPr>
          <w:rFonts w:hint="default" w:ascii="Times New Roman" w:hAnsi="Times New Roman" w:eastAsia="宋体" w:cs="Times New Roman"/>
          <w:color w:val="auto"/>
          <w:kern w:val="2"/>
          <w:sz w:val="21"/>
          <w:szCs w:val="21"/>
          <w:highlight w:val="none"/>
          <w:shd w:val="clear" w:color="auto" w:fill="auto"/>
          <w:lang w:val="en-US" w:eastAsia="zh-CN" w:bidi="ar"/>
        </w:rPr>
        <w:t>使用SPSS</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lang w:val="en-US" w:eastAsia="zh-CN" w:bidi="ar"/>
        </w:rPr>
        <w:t>25</w:t>
      </w:r>
      <w:r>
        <w:rPr>
          <w:rFonts w:hint="eastAsia" w:ascii="Times New Roman" w:hAnsi="Times New Roman" w:eastAsia="宋体" w:cs="Times New Roman"/>
          <w:color w:val="auto"/>
          <w:kern w:val="2"/>
          <w:sz w:val="21"/>
          <w:szCs w:val="21"/>
          <w:highlight w:val="none"/>
          <w:shd w:val="clear" w:color="auto" w:fill="auto"/>
          <w:lang w:val="en-US" w:eastAsia="zh-CN" w:bidi="ar"/>
        </w:rPr>
        <w:t>.0</w:t>
      </w:r>
      <w:r>
        <w:rPr>
          <w:rFonts w:hint="default" w:ascii="Times New Roman" w:hAnsi="Times New Roman" w:eastAsia="宋体" w:cs="Times New Roman"/>
          <w:color w:val="auto"/>
          <w:kern w:val="2"/>
          <w:sz w:val="21"/>
          <w:szCs w:val="21"/>
          <w:highlight w:val="none"/>
          <w:shd w:val="clear" w:color="auto" w:fill="auto"/>
          <w:lang w:val="en-US" w:eastAsia="zh-CN" w:bidi="ar"/>
        </w:rPr>
        <w:t>软件进行</w:t>
      </w:r>
      <w:r>
        <w:rPr>
          <w:rFonts w:hint="eastAsia" w:ascii="Times New Roman" w:hAnsi="Times New Roman" w:eastAsia="宋体" w:cs="Times New Roman"/>
          <w:color w:val="auto"/>
          <w:kern w:val="2"/>
          <w:sz w:val="21"/>
          <w:szCs w:val="21"/>
          <w:highlight w:val="none"/>
          <w:shd w:val="clear" w:color="auto" w:fill="auto"/>
          <w:lang w:val="en-US" w:eastAsia="zh-CN" w:bidi="ar"/>
        </w:rPr>
        <w:t>统计</w:t>
      </w:r>
      <w:r>
        <w:rPr>
          <w:rFonts w:hint="default" w:ascii="Times New Roman" w:hAnsi="Times New Roman" w:eastAsia="宋体" w:cs="Times New Roman"/>
          <w:color w:val="auto"/>
          <w:kern w:val="2"/>
          <w:sz w:val="21"/>
          <w:szCs w:val="21"/>
          <w:highlight w:val="none"/>
          <w:shd w:val="clear" w:color="auto" w:fill="auto"/>
          <w:lang w:val="en-US" w:eastAsia="zh-CN" w:bidi="ar"/>
        </w:rPr>
        <w:t>分析</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计量资料使用Shapiro-Wilk检验进行正态性检验，符合正态分布以</w:t>
      </w:r>
      <w:r>
        <w:rPr>
          <w:rFonts w:hint="default" w:ascii="Times New Roman" w:hAnsi="Times New Roman" w:eastAsia="宋体" w:cs="Times New Roman"/>
          <w:b/>
          <w:color w:val="auto"/>
          <w:position w:val="-6"/>
          <w:sz w:val="21"/>
          <w:szCs w:val="21"/>
          <w:highlight w:val="none"/>
          <w:shd w:val="clear" w:color="auto" w:fill="auto"/>
        </w:rPr>
        <w:object>
          <v:shape id="_x0000_i1025" style="height:13.2pt;width:26.4pt;" coordsize="21600,21600" filled="f" stroked="f" o:spt="75" o:ole="t" type="#_x0000_t75">
            <v:path/>
            <v:fill on="f" focussize="0,0"/>
            <v:stroke on="f"/>
            <v:imagedata embosscolor="#FFFFFF" o:title="" r:id="rId7"/>
            <o:lock v:ext="edit" aspectratio="t"/>
            <w10:wrap type="none"/>
            <w10:anchorlock/>
          </v:shape>
          <o:OLEObject Type="Embed" ProgID="Equation.3" ShapeID="_x0000_i1025" DrawAspect="Content" ObjectID="_1468075725" r:id="rId6">
            <o:LockedField>false</o:LockedField>
          </o:OLEObject>
        </w:object>
      </w:r>
      <w:r>
        <w:rPr>
          <w:rFonts w:hint="default" w:ascii="Times New Roman" w:hAnsi="Times New Roman" w:eastAsia="宋体" w:cs="Times New Roman"/>
          <w:color w:val="auto"/>
          <w:kern w:val="2"/>
          <w:sz w:val="21"/>
          <w:szCs w:val="21"/>
          <w:highlight w:val="none"/>
          <w:shd w:val="clear" w:color="auto" w:fill="auto"/>
          <w:lang w:val="en-US" w:eastAsia="zh-CN" w:bidi="ar"/>
        </w:rPr>
        <w:t>表示，组内比较采用配对</w:t>
      </w:r>
      <w:r>
        <w:rPr>
          <w:rFonts w:hint="eastAsia" w:ascii="Times New Roman" w:hAnsi="Times New Roman" w:cs="Times New Roman"/>
          <w:color w:val="auto"/>
          <w:kern w:val="2"/>
          <w:sz w:val="21"/>
          <w:szCs w:val="21"/>
          <w:highlight w:val="none"/>
          <w:shd w:val="clear" w:color="auto" w:fill="auto"/>
          <w:lang w:val="en-US" w:eastAsia="zh-CN" w:bidi="ar"/>
        </w:rPr>
        <w:t>样本</w:t>
      </w:r>
      <w:r>
        <w:rPr>
          <w:rFonts w:hint="default" w:ascii="Times New Roman" w:hAnsi="Times New Roman" w:eastAsia="宋体" w:cs="Times New Roman"/>
          <w:i/>
          <w:iCs/>
          <w:color w:val="auto"/>
          <w:kern w:val="2"/>
          <w:sz w:val="21"/>
          <w:szCs w:val="21"/>
          <w:highlight w:val="none"/>
          <w:shd w:val="clear" w:color="auto" w:fill="auto"/>
          <w:lang w:val="en-US" w:eastAsia="zh-CN" w:bidi="ar"/>
        </w:rPr>
        <w:t>t</w:t>
      </w:r>
      <w:r>
        <w:rPr>
          <w:rFonts w:hint="default" w:ascii="Times New Roman" w:hAnsi="Times New Roman" w:eastAsia="宋体" w:cs="Times New Roman"/>
          <w:color w:val="auto"/>
          <w:kern w:val="2"/>
          <w:sz w:val="21"/>
          <w:szCs w:val="21"/>
          <w:highlight w:val="none"/>
          <w:shd w:val="clear" w:color="auto" w:fill="auto"/>
          <w:lang w:val="en-US" w:eastAsia="zh-CN" w:bidi="ar"/>
        </w:rPr>
        <w:t>检验，组间比较采用独立样本</w:t>
      </w:r>
      <w:r>
        <w:rPr>
          <w:rFonts w:hint="default" w:ascii="Times New Roman" w:hAnsi="Times New Roman" w:eastAsia="宋体" w:cs="Times New Roman"/>
          <w:i/>
          <w:iCs/>
          <w:color w:val="auto"/>
          <w:kern w:val="2"/>
          <w:sz w:val="21"/>
          <w:szCs w:val="21"/>
          <w:highlight w:val="none"/>
          <w:shd w:val="clear" w:color="auto" w:fill="auto"/>
          <w:lang w:val="en-US" w:eastAsia="zh-CN" w:bidi="ar"/>
        </w:rPr>
        <w:t>t</w:t>
      </w:r>
      <w:r>
        <w:rPr>
          <w:rFonts w:hint="default" w:ascii="Times New Roman" w:hAnsi="Times New Roman" w:eastAsia="宋体" w:cs="Times New Roman"/>
          <w:color w:val="auto"/>
          <w:kern w:val="2"/>
          <w:sz w:val="21"/>
          <w:szCs w:val="21"/>
          <w:highlight w:val="none"/>
          <w:shd w:val="clear" w:color="auto" w:fill="auto"/>
          <w:lang w:val="en-US" w:eastAsia="zh-CN" w:bidi="ar"/>
        </w:rPr>
        <w:t>检验</w:t>
      </w:r>
      <w:r>
        <w:rPr>
          <w:rFonts w:hint="eastAsia"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计数资料及等级资料</w:t>
      </w:r>
      <w:r>
        <w:rPr>
          <w:rFonts w:hint="default" w:ascii="Times New Roman" w:hAnsi="Times New Roman" w:eastAsia="宋体" w:cs="Times New Roman"/>
          <w:b w:val="0"/>
          <w:bCs w:val="0"/>
          <w:color w:val="auto"/>
          <w:sz w:val="21"/>
          <w:szCs w:val="21"/>
          <w:highlight w:val="none"/>
          <w:shd w:val="clear" w:color="auto" w:fill="auto"/>
          <w:lang w:val="en-US" w:eastAsia="zh-CN"/>
        </w:rPr>
        <w:t>用</w:t>
      </w:r>
      <w:r>
        <w:rPr>
          <w:rFonts w:hint="eastAsia" w:ascii="Times New Roman" w:hAnsi="Times New Roman" w:eastAsia="宋体" w:cs="Times New Roman"/>
          <w:b w:val="0"/>
          <w:bCs w:val="0"/>
          <w:color w:val="auto"/>
          <w:sz w:val="21"/>
          <w:szCs w:val="21"/>
          <w:highlight w:val="none"/>
          <w:shd w:val="clear" w:color="auto" w:fill="auto"/>
          <w:lang w:val="en-US" w:eastAsia="zh-CN"/>
        </w:rPr>
        <w:t>例</w:t>
      </w:r>
      <w:r>
        <w:rPr>
          <w:rFonts w:hint="default" w:ascii="Times New Roman" w:hAnsi="Times New Roman" w:eastAsia="宋体" w:cs="Times New Roman"/>
          <w:b w:val="0"/>
          <w:bCs w:val="0"/>
          <w:color w:val="auto"/>
          <w:sz w:val="21"/>
          <w:szCs w:val="21"/>
          <w:highlight w:val="none"/>
          <w:shd w:val="clear" w:color="auto" w:fill="auto"/>
          <w:lang w:val="en-US" w:eastAsia="zh-CN"/>
        </w:rPr>
        <w:t>（%）</w:t>
      </w:r>
      <w:r>
        <w:rPr>
          <w:rFonts w:hint="default" w:ascii="Times New Roman" w:hAnsi="Times New Roman" w:eastAsia="宋体" w:cs="Times New Roman"/>
          <w:color w:val="auto"/>
          <w:kern w:val="2"/>
          <w:sz w:val="21"/>
          <w:szCs w:val="21"/>
          <w:highlight w:val="none"/>
          <w:shd w:val="clear" w:color="auto" w:fill="auto"/>
          <w:lang w:val="en-US" w:eastAsia="zh-CN" w:bidi="ar"/>
        </w:rPr>
        <w:t>表示，</w:t>
      </w:r>
      <w:r>
        <w:rPr>
          <w:rFonts w:hint="default" w:ascii="Times New Roman" w:hAnsi="Times New Roman" w:eastAsia="宋体" w:cs="Times New Roman"/>
          <w:b w:val="0"/>
          <w:bCs w:val="0"/>
          <w:color w:val="auto"/>
          <w:sz w:val="21"/>
          <w:szCs w:val="21"/>
          <w:highlight w:val="none"/>
          <w:shd w:val="clear" w:color="auto" w:fill="auto"/>
          <w:lang w:val="en-US" w:eastAsia="zh-CN"/>
        </w:rPr>
        <w:t>组间</w:t>
      </w:r>
      <w:r>
        <w:rPr>
          <w:rFonts w:hint="eastAsia" w:ascii="Times New Roman" w:hAnsi="Times New Roman" w:eastAsia="宋体" w:cs="Times New Roman"/>
          <w:b w:val="0"/>
          <w:bCs w:val="0"/>
          <w:color w:val="auto"/>
          <w:sz w:val="21"/>
          <w:szCs w:val="21"/>
          <w:highlight w:val="none"/>
          <w:shd w:val="clear" w:color="auto" w:fill="auto"/>
          <w:lang w:val="en-US" w:eastAsia="zh-CN"/>
        </w:rPr>
        <w:t>比较采用</w:t>
      </w:r>
      <w:r>
        <w:rPr>
          <w:rFonts w:hint="default" w:ascii="Times New Roman" w:hAnsi="Times New Roman" w:eastAsia="宋体" w:cs="Times New Roman"/>
          <w:i/>
          <w:iCs/>
          <w:color w:val="auto"/>
          <w:sz w:val="21"/>
          <w:szCs w:val="21"/>
          <w:highlight w:val="none"/>
          <w:shd w:val="clear" w:color="auto" w:fill="auto"/>
        </w:rPr>
        <w:t>χ</w:t>
      </w:r>
      <w:r>
        <w:rPr>
          <w:rFonts w:hint="default" w:ascii="Times New Roman" w:hAnsi="Times New Roman" w:eastAsia="宋体" w:cs="Times New Roman"/>
          <w:i/>
          <w:iCs/>
          <w:color w:val="auto"/>
          <w:sz w:val="21"/>
          <w:szCs w:val="21"/>
          <w:highlight w:val="none"/>
          <w:shd w:val="clear" w:color="auto" w:fill="auto"/>
          <w:vertAlign w:val="superscript"/>
        </w:rPr>
        <w:t>2</w:t>
      </w:r>
      <w:r>
        <w:rPr>
          <w:rFonts w:hint="default" w:ascii="Times New Roman" w:hAnsi="Times New Roman" w:eastAsia="宋体" w:cs="Times New Roman"/>
          <w:color w:val="auto"/>
          <w:kern w:val="2"/>
          <w:sz w:val="21"/>
          <w:szCs w:val="21"/>
          <w:highlight w:val="none"/>
          <w:shd w:val="clear" w:color="auto" w:fill="auto"/>
          <w:lang w:val="en-US" w:eastAsia="zh-CN" w:bidi="ar"/>
        </w:rPr>
        <w:t>检验。</w:t>
      </w:r>
      <w:r>
        <w:rPr>
          <w:rFonts w:hint="eastAsia" w:ascii="Times New Roman" w:hAnsi="Times New Roman" w:eastAsia="宋体"/>
          <w:color w:val="auto"/>
          <w:sz w:val="21"/>
          <w:highlight w:val="none"/>
          <w:shd w:val="clear" w:color="auto" w:fill="auto"/>
          <w:lang w:val="en-US" w:eastAsia="zh-CN"/>
        </w:rPr>
        <w:t>以</w:t>
      </w:r>
      <w:r>
        <w:rPr>
          <w:rFonts w:hint="default" w:ascii="Times New Roman" w:hAnsi="Times New Roman" w:eastAsia="宋体" w:cs="Times New Roman"/>
          <w:i/>
          <w:iCs/>
          <w:color w:val="auto"/>
          <w:kern w:val="2"/>
          <w:sz w:val="21"/>
          <w:szCs w:val="21"/>
          <w:highlight w:val="none"/>
          <w:shd w:val="clear" w:color="auto" w:fill="auto"/>
          <w:lang w:val="en-US" w:eastAsia="zh-CN" w:bidi="ar"/>
        </w:rPr>
        <w:t>P</w:t>
      </w:r>
      <w:r>
        <w:rPr>
          <w:rFonts w:hint="default" w:ascii="Times New Roman" w:hAnsi="Times New Roman" w:eastAsia="宋体" w:cs="Times New Roman"/>
          <w:color w:val="auto"/>
          <w:kern w:val="2"/>
          <w:sz w:val="21"/>
          <w:szCs w:val="21"/>
          <w:highlight w:val="none"/>
          <w:shd w:val="clear" w:color="auto" w:fill="auto"/>
          <w:lang w:val="en-US" w:eastAsia="zh-CN" w:bidi="ar"/>
        </w:rPr>
        <w:t>＜0.05为差异有统计学意义。</w:t>
      </w:r>
    </w:p>
    <w:p w14:paraId="2C092E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
        </w:rPr>
      </w:pPr>
      <w:r>
        <w:rPr>
          <w:rFonts w:hint="eastAsia" w:ascii="Times New Roman" w:hAnsi="Times New Roman" w:eastAsia="宋体" w:cs="Times New Roman"/>
          <w:b/>
          <w:bCs/>
          <w:color w:val="auto"/>
          <w:kern w:val="2"/>
          <w:sz w:val="21"/>
          <w:szCs w:val="21"/>
          <w:highlight w:val="none"/>
          <w:shd w:val="clear" w:color="auto" w:fill="auto"/>
          <w:lang w:val="en-US" w:eastAsia="zh-CN" w:bidi="ar"/>
        </w:rPr>
        <w:t>结    果</w:t>
      </w:r>
      <w:bookmarkEnd w:id="75"/>
    </w:p>
    <w:p w14:paraId="5BF4CE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color w:val="auto"/>
          <w:kern w:val="2"/>
          <w:sz w:val="21"/>
          <w:szCs w:val="21"/>
          <w:highlight w:val="none"/>
          <w:shd w:val="clear" w:color="auto" w:fill="auto"/>
          <w:lang w:val="en-US" w:eastAsia="zh-CN" w:bidi="ar"/>
        </w:rPr>
        <w:t>一、2组患者一般资料比较</w:t>
      </w:r>
      <w:bookmarkEnd w:id="76"/>
    </w:p>
    <w:p w14:paraId="1283F7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2组脑</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卒中后偏瘫患者</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的性别、年龄、发病到治疗时间、卒中类型等一般资料比较，差异均无统计学意义</w:t>
      </w:r>
      <w:r>
        <w:rPr>
          <w:rFonts w:hint="default" w:ascii="Times New Roman" w:hAnsi="Times New Roman" w:eastAsia="宋体" w:cs="Times New Roman"/>
          <w:color w:val="auto"/>
          <w:kern w:val="2"/>
          <w:sz w:val="21"/>
          <w:szCs w:val="21"/>
          <w:highlight w:val="none"/>
          <w:shd w:val="clear" w:color="auto" w:fill="auto"/>
          <w:lang w:val="en-US" w:eastAsia="zh-CN" w:bidi="ar"/>
        </w:rPr>
        <w:t>（</w:t>
      </w:r>
      <w:r>
        <w:rPr>
          <w:rFonts w:hint="default" w:ascii="Times New Roman" w:hAnsi="Times New Roman" w:eastAsia="宋体" w:cs="Times New Roman"/>
          <w:i/>
          <w:iCs/>
          <w:color w:val="auto"/>
          <w:kern w:val="2"/>
          <w:sz w:val="21"/>
          <w:szCs w:val="21"/>
          <w:highlight w:val="none"/>
          <w:shd w:val="clear" w:color="auto" w:fill="auto"/>
          <w:lang w:val="en-US" w:eastAsia="zh-CN" w:bidi="ar"/>
        </w:rPr>
        <w:t>P</w:t>
      </w:r>
      <w:r>
        <w:rPr>
          <w:rFonts w:hint="eastAsia" w:ascii="Times New Roman" w:hAnsi="Times New Roman" w:eastAsia="宋体" w:cs="Times New Roman"/>
          <w:color w:val="auto"/>
          <w:kern w:val="2"/>
          <w:sz w:val="21"/>
          <w:szCs w:val="21"/>
          <w:highlight w:val="none"/>
          <w:shd w:val="clear" w:color="auto" w:fill="auto"/>
          <w:lang w:val="en-US" w:eastAsia="zh-CN" w:bidi="ar"/>
        </w:rPr>
        <w:t>均</w:t>
      </w:r>
      <w:r>
        <w:rPr>
          <w:rFonts w:hint="default" w:ascii="Times New Roman" w:hAnsi="Times New Roman" w:eastAsia="宋体" w:cs="Times New Roman"/>
          <w:color w:val="auto"/>
          <w:kern w:val="2"/>
          <w:sz w:val="21"/>
          <w:szCs w:val="21"/>
          <w:highlight w:val="none"/>
          <w:shd w:val="clear" w:color="auto" w:fill="auto"/>
          <w:lang w:val="en-US" w:eastAsia="zh-CN" w:bidi="ar"/>
        </w:rPr>
        <w:t>＞0.05，表1）</w:t>
      </w:r>
      <w:r>
        <w:rPr>
          <w:rFonts w:hint="eastAsia" w:ascii="Times New Roman" w:hAnsi="Times New Roman" w:eastAsia="宋体" w:cs="Times New Roman"/>
          <w:color w:val="auto"/>
          <w:kern w:val="2"/>
          <w:sz w:val="21"/>
          <w:szCs w:val="21"/>
          <w:highlight w:val="none"/>
          <w:shd w:val="clear" w:color="auto" w:fill="auto"/>
          <w:lang w:val="en-US" w:eastAsia="zh-CN" w:bidi="ar"/>
        </w:rPr>
        <w:t>，组间具有可比性。</w:t>
      </w:r>
    </w:p>
    <w:p w14:paraId="1A6CFD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
        </w:rPr>
      </w:pPr>
    </w:p>
    <w:p w14:paraId="0F6CDF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
        </w:rPr>
      </w:pPr>
      <w:r>
        <w:rPr>
          <w:rFonts w:hint="default" w:ascii="Times New Roman" w:hAnsi="Times New Roman" w:eastAsia="宋体" w:cs="Times New Roman"/>
          <w:b/>
          <w:bCs/>
          <w:color w:val="auto"/>
          <w:kern w:val="2"/>
          <w:sz w:val="21"/>
          <w:szCs w:val="21"/>
          <w:highlight w:val="none"/>
          <w:shd w:val="clear" w:color="auto" w:fill="auto"/>
          <w:lang w:val="en-US" w:eastAsia="zh-CN" w:bidi="ar"/>
        </w:rPr>
        <w:t>表1</w:t>
      </w:r>
      <w:r>
        <w:rPr>
          <w:rFonts w:hint="eastAsia" w:ascii="Times New Roman" w:hAnsi="Times New Roman" w:eastAsia="宋体" w:cs="Times New Roman"/>
          <w:b/>
          <w:bCs/>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b/>
          <w:bCs/>
          <w:color w:val="auto"/>
          <w:kern w:val="2"/>
          <w:sz w:val="21"/>
          <w:szCs w:val="21"/>
          <w:highlight w:val="none"/>
          <w:shd w:val="clear" w:color="auto" w:fill="auto"/>
          <w:lang w:val="en-US" w:eastAsia="zh-CN" w:bidi="ar"/>
        </w:rPr>
        <w:t xml:space="preserve"> </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2组脑</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卒中后偏瘫患者一般资料比较</w:t>
      </w:r>
      <w:bookmarkEnd w:id="77"/>
      <w:bookmarkEnd w:id="78"/>
    </w:p>
    <w:tbl>
      <w:tblPr>
        <w:tblStyle w:val="12"/>
        <w:tblW w:w="4997"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64"/>
        <w:gridCol w:w="2169"/>
        <w:gridCol w:w="2169"/>
        <w:gridCol w:w="1079"/>
        <w:gridCol w:w="775"/>
      </w:tblGrid>
      <w:tr w14:paraId="1F119BF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0" w:type="pct"/>
            <w:tcBorders>
              <w:bottom w:val="single" w:color="auto" w:sz="4" w:space="0"/>
            </w:tcBorders>
            <w:noWrap w:val="0"/>
            <w:vAlign w:val="top"/>
          </w:tcPr>
          <w:p w14:paraId="29B174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项目</w:t>
            </w:r>
          </w:p>
        </w:tc>
        <w:tc>
          <w:tcPr>
            <w:tcW w:w="1089" w:type="pct"/>
            <w:tcBorders>
              <w:bottom w:val="single" w:color="auto" w:sz="4" w:space="0"/>
            </w:tcBorders>
            <w:noWrap w:val="0"/>
            <w:vAlign w:val="top"/>
          </w:tcPr>
          <w:p w14:paraId="318573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对照组（</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n</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=48</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w:t>
            </w:r>
          </w:p>
        </w:tc>
        <w:tc>
          <w:tcPr>
            <w:tcW w:w="1089" w:type="pct"/>
            <w:tcBorders>
              <w:bottom w:val="single" w:color="auto" w:sz="4" w:space="0"/>
            </w:tcBorders>
            <w:noWrap w:val="0"/>
            <w:vAlign w:val="top"/>
          </w:tcPr>
          <w:p w14:paraId="722E8D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试验组（</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n</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=48</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w:t>
            </w:r>
          </w:p>
        </w:tc>
        <w:tc>
          <w:tcPr>
            <w:tcW w:w="542" w:type="pct"/>
            <w:tcBorders>
              <w:bottom w:val="single" w:color="auto" w:sz="4" w:space="0"/>
            </w:tcBorders>
            <w:noWrap w:val="0"/>
            <w:vAlign w:val="top"/>
          </w:tcPr>
          <w:p w14:paraId="33B9CA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统计值</w:t>
            </w:r>
          </w:p>
        </w:tc>
        <w:tc>
          <w:tcPr>
            <w:tcW w:w="389" w:type="pct"/>
            <w:tcBorders>
              <w:bottom w:val="single" w:color="auto" w:sz="4" w:space="0"/>
            </w:tcBorders>
            <w:noWrap w:val="0"/>
            <w:vAlign w:val="top"/>
          </w:tcPr>
          <w:p w14:paraId="58F756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P</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值</w:t>
            </w:r>
          </w:p>
        </w:tc>
      </w:tr>
      <w:tr w14:paraId="3E4B352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0" w:type="pct"/>
            <w:tcBorders>
              <w:top w:val="single" w:color="auto" w:sz="4" w:space="0"/>
            </w:tcBorders>
            <w:noWrap w:val="0"/>
            <w:vAlign w:val="top"/>
          </w:tcPr>
          <w:p w14:paraId="7B8FC1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性别[例（%）]</w:t>
            </w:r>
          </w:p>
        </w:tc>
        <w:tc>
          <w:tcPr>
            <w:tcW w:w="1089" w:type="pct"/>
            <w:tcBorders>
              <w:top w:val="single" w:color="auto" w:sz="4" w:space="0"/>
            </w:tcBorders>
            <w:noWrap w:val="0"/>
            <w:vAlign w:val="top"/>
          </w:tcPr>
          <w:p w14:paraId="0EAE8D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1089" w:type="pct"/>
            <w:tcBorders>
              <w:top w:val="single" w:color="auto" w:sz="4" w:space="0"/>
            </w:tcBorders>
            <w:noWrap w:val="0"/>
            <w:vAlign w:val="top"/>
          </w:tcPr>
          <w:p w14:paraId="676BC7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42" w:type="pct"/>
            <w:tcBorders>
              <w:top w:val="single" w:color="auto" w:sz="4" w:space="0"/>
            </w:tcBorders>
            <w:noWrap w:val="0"/>
            <w:vAlign w:val="top"/>
          </w:tcPr>
          <w:p w14:paraId="701906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sz w:val="21"/>
                <w:szCs w:val="21"/>
                <w:highlight w:val="none"/>
                <w:shd w:val="clear" w:color="auto" w:fill="auto"/>
              </w:rPr>
              <w:t>χ</w:t>
            </w:r>
            <w:r>
              <w:rPr>
                <w:rFonts w:hint="default" w:ascii="Times New Roman" w:hAnsi="Times New Roman" w:eastAsia="宋体" w:cs="Times New Roman"/>
                <w:i/>
                <w:iCs/>
                <w:color w:val="auto"/>
                <w:sz w:val="21"/>
                <w:szCs w:val="21"/>
                <w:highlight w:val="none"/>
                <w:shd w:val="clear" w:color="auto" w:fill="auto"/>
                <w:vertAlign w:val="superscript"/>
              </w:rPr>
              <w:t>2</w:t>
            </w:r>
            <w:r>
              <w:rPr>
                <w:rFonts w:hint="eastAsia" w:ascii="Times New Roman" w:hAnsi="Times New Roman" w:cs="Times New Roman"/>
                <w:color w:val="auto"/>
                <w:sz w:val="21"/>
                <w:szCs w:val="21"/>
                <w:highlight w:val="none"/>
                <w:shd w:val="clear" w:color="auto" w:fill="auto"/>
                <w:lang w:val="en-US" w:eastAsia="zh-CN" w:bidi="ar"/>
              </w:rPr>
              <w:t>=</w:t>
            </w:r>
            <w:r>
              <w:rPr>
                <w:rFonts w:hint="default" w:ascii="Times New Roman" w:hAnsi="Times New Roman" w:eastAsia="宋体" w:cs="Times New Roman"/>
                <w:color w:val="auto"/>
                <w:sz w:val="21"/>
                <w:szCs w:val="21"/>
                <w:highlight w:val="none"/>
                <w:shd w:val="clear" w:color="auto" w:fill="auto"/>
                <w:lang w:val="en-US" w:eastAsia="zh-CN" w:bidi="ar"/>
              </w:rPr>
              <w:t>0.783</w:t>
            </w:r>
          </w:p>
        </w:tc>
        <w:tc>
          <w:tcPr>
            <w:tcW w:w="389" w:type="pct"/>
            <w:tcBorders>
              <w:top w:val="single" w:color="auto" w:sz="4" w:space="0"/>
            </w:tcBorders>
            <w:noWrap w:val="0"/>
            <w:vAlign w:val="top"/>
          </w:tcPr>
          <w:p w14:paraId="02F6D4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0.376</w:t>
            </w:r>
          </w:p>
        </w:tc>
      </w:tr>
      <w:tr w14:paraId="6694566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0" w:type="pct"/>
            <w:noWrap w:val="0"/>
            <w:vAlign w:val="top"/>
          </w:tcPr>
          <w:p w14:paraId="6B9698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 xml:space="preserve">  男</w:t>
            </w:r>
          </w:p>
        </w:tc>
        <w:tc>
          <w:tcPr>
            <w:tcW w:w="1089" w:type="pct"/>
            <w:noWrap w:val="0"/>
            <w:vAlign w:val="center"/>
          </w:tcPr>
          <w:p w14:paraId="35A223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28（58.33）</w:t>
            </w:r>
          </w:p>
        </w:tc>
        <w:tc>
          <w:tcPr>
            <w:tcW w:w="1089" w:type="pct"/>
            <w:noWrap w:val="0"/>
            <w:vAlign w:val="center"/>
          </w:tcPr>
          <w:p w14:paraId="47002D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26（54.17）</w:t>
            </w:r>
          </w:p>
        </w:tc>
        <w:tc>
          <w:tcPr>
            <w:tcW w:w="542" w:type="pct"/>
            <w:noWrap w:val="0"/>
            <w:vAlign w:val="top"/>
          </w:tcPr>
          <w:p w14:paraId="481D8C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89" w:type="pct"/>
            <w:noWrap w:val="0"/>
            <w:vAlign w:val="top"/>
          </w:tcPr>
          <w:p w14:paraId="702F1E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r>
      <w:tr w14:paraId="39009D2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0" w:type="pct"/>
            <w:noWrap w:val="0"/>
            <w:vAlign w:val="top"/>
          </w:tcPr>
          <w:p w14:paraId="002AC5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 xml:space="preserve">  女</w:t>
            </w:r>
          </w:p>
        </w:tc>
        <w:tc>
          <w:tcPr>
            <w:tcW w:w="1089" w:type="pct"/>
            <w:noWrap w:val="0"/>
            <w:vAlign w:val="center"/>
          </w:tcPr>
          <w:p w14:paraId="1208FF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20（41.67）</w:t>
            </w:r>
          </w:p>
        </w:tc>
        <w:tc>
          <w:tcPr>
            <w:tcW w:w="1089" w:type="pct"/>
            <w:noWrap w:val="0"/>
            <w:vAlign w:val="center"/>
          </w:tcPr>
          <w:p w14:paraId="455A63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22（45.83）</w:t>
            </w:r>
          </w:p>
        </w:tc>
        <w:tc>
          <w:tcPr>
            <w:tcW w:w="542" w:type="pct"/>
            <w:noWrap w:val="0"/>
            <w:vAlign w:val="top"/>
          </w:tcPr>
          <w:p w14:paraId="3B789A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89" w:type="pct"/>
            <w:noWrap w:val="0"/>
            <w:vAlign w:val="top"/>
          </w:tcPr>
          <w:p w14:paraId="6AAA7D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r>
      <w:tr w14:paraId="7E049FD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0" w:type="pct"/>
            <w:noWrap w:val="0"/>
            <w:vAlign w:val="top"/>
          </w:tcPr>
          <w:p w14:paraId="5BDF7B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年龄</w:t>
            </w:r>
            <w:r>
              <w:rPr>
                <w:rFonts w:hint="default" w:ascii="Times New Roman" w:hAnsi="Times New Roman" w:eastAsia="宋体" w:cs="Times New Roman"/>
                <w:color w:val="auto"/>
                <w:sz w:val="21"/>
                <w:szCs w:val="21"/>
                <w:highlight w:val="none"/>
                <w:shd w:val="clear" w:color="auto" w:fill="auto"/>
                <w:lang w:val="en-US" w:eastAsia="zh-CN" w:bidi="ar"/>
              </w:rPr>
              <w:t>（岁</w:t>
            </w:r>
            <w:r>
              <w:rPr>
                <w:rFonts w:hint="eastAsia" w:ascii="Times New Roman" w:hAnsi="Times New Roman" w:eastAsia="宋体" w:cs="Times New Roman"/>
                <w:color w:val="auto"/>
                <w:sz w:val="21"/>
                <w:szCs w:val="21"/>
                <w:highlight w:val="none"/>
                <w:shd w:val="clear" w:color="auto" w:fill="auto"/>
                <w:lang w:val="en-US" w:eastAsia="zh-CN" w:bidi="ar"/>
              </w:rPr>
              <w:t>，</w:t>
            </w:r>
            <w:r>
              <w:rPr>
                <w:rFonts w:hint="default" w:ascii="Times New Roman" w:hAnsi="Times New Roman" w:eastAsia="宋体" w:cs="Times New Roman"/>
                <w:b/>
                <w:color w:val="auto"/>
                <w:position w:val="-6"/>
                <w:sz w:val="21"/>
                <w:szCs w:val="21"/>
                <w:highlight w:val="none"/>
                <w:shd w:val="clear" w:color="auto" w:fill="auto"/>
              </w:rPr>
              <w:object>
                <v:shape id="_x0000_i1026" style="height:13.2pt;width:26.4pt;" coordsize="21600,21600" filled="f" stroked="f" o:spt="75" o:ole="t" type="#_x0000_t75">
                  <v:path/>
                  <v:fill on="f" focussize="0,0"/>
                  <v:stroke on="f"/>
                  <v:imagedata embosscolor="#FFFFFF" o:title="" r:id="rId7"/>
                  <o:lock v:ext="edit" aspectratio="t"/>
                  <w10:wrap type="none"/>
                  <w10:anchorlock/>
                </v:shape>
                <o:OLEObject Type="Embed" ProgID="Equation.3" ShapeID="_x0000_i1026" DrawAspect="Content" ObjectID="_1468075726" r:id="rId8">
                  <o:LockedField>false</o:LockedField>
                </o:OLEObject>
              </w:object>
            </w:r>
            <w:r>
              <w:rPr>
                <w:rFonts w:hint="default" w:ascii="Times New Roman" w:hAnsi="Times New Roman" w:eastAsia="宋体" w:cs="Times New Roman"/>
                <w:color w:val="auto"/>
                <w:sz w:val="21"/>
                <w:szCs w:val="21"/>
                <w:highlight w:val="none"/>
                <w:shd w:val="clear" w:color="auto" w:fill="auto"/>
                <w:lang w:val="en-US" w:eastAsia="zh-CN" w:bidi="ar"/>
              </w:rPr>
              <w:t>）</w:t>
            </w:r>
          </w:p>
        </w:tc>
        <w:tc>
          <w:tcPr>
            <w:tcW w:w="1089" w:type="pct"/>
            <w:noWrap w:val="0"/>
            <w:vAlign w:val="center"/>
          </w:tcPr>
          <w:p w14:paraId="176C85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62.88±11.91</w:t>
            </w:r>
          </w:p>
        </w:tc>
        <w:tc>
          <w:tcPr>
            <w:tcW w:w="1089" w:type="pct"/>
            <w:noWrap w:val="0"/>
            <w:vAlign w:val="center"/>
          </w:tcPr>
          <w:p w14:paraId="723331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61.62±12.59</w:t>
            </w:r>
          </w:p>
        </w:tc>
        <w:tc>
          <w:tcPr>
            <w:tcW w:w="542" w:type="pct"/>
            <w:noWrap w:val="0"/>
            <w:vAlign w:val="top"/>
          </w:tcPr>
          <w:p w14:paraId="23772A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cs="Times New Roman"/>
                <w:i/>
                <w:iCs/>
                <w:color w:val="auto"/>
                <w:sz w:val="21"/>
                <w:szCs w:val="21"/>
                <w:highlight w:val="none"/>
                <w:shd w:val="clear" w:color="auto" w:fill="auto"/>
                <w:lang w:val="en-US" w:eastAsia="zh-CN" w:bidi="ar"/>
              </w:rPr>
              <w:t>t</w:t>
            </w:r>
            <w:r>
              <w:rPr>
                <w:rFonts w:hint="eastAsia" w:ascii="Times New Roman" w:hAnsi="Times New Roman" w:cs="Times New Roman"/>
                <w:color w:val="auto"/>
                <w:sz w:val="21"/>
                <w:szCs w:val="21"/>
                <w:highlight w:val="none"/>
                <w:shd w:val="clear" w:color="auto" w:fill="auto"/>
                <w:lang w:val="en-US" w:eastAsia="zh-CN" w:bidi="ar"/>
              </w:rPr>
              <w:t>=</w:t>
            </w:r>
            <w:r>
              <w:rPr>
                <w:rFonts w:hint="default" w:ascii="Times New Roman" w:hAnsi="Times New Roman" w:eastAsia="宋体" w:cs="Times New Roman"/>
                <w:color w:val="auto"/>
                <w:sz w:val="21"/>
                <w:szCs w:val="21"/>
                <w:highlight w:val="none"/>
                <w:shd w:val="clear" w:color="auto" w:fill="auto"/>
                <w:lang w:val="en-US" w:eastAsia="zh-CN" w:bidi="ar"/>
              </w:rPr>
              <w:t>0.507</w:t>
            </w:r>
          </w:p>
        </w:tc>
        <w:tc>
          <w:tcPr>
            <w:tcW w:w="389" w:type="pct"/>
            <w:noWrap w:val="0"/>
            <w:vAlign w:val="top"/>
          </w:tcPr>
          <w:p w14:paraId="0FD7F7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0.613</w:t>
            </w:r>
          </w:p>
        </w:tc>
      </w:tr>
      <w:tr w14:paraId="031B266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0" w:type="pct"/>
            <w:noWrap w:val="0"/>
            <w:vAlign w:val="top"/>
          </w:tcPr>
          <w:p w14:paraId="592F7D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发病到治疗时间（d</w:t>
            </w:r>
            <w:r>
              <w:rPr>
                <w:rFonts w:hint="eastAsia" w:ascii="Times New Roman" w:hAnsi="Times New Roman" w:eastAsia="宋体" w:cs="Times New Roman"/>
                <w:color w:val="auto"/>
                <w:sz w:val="21"/>
                <w:szCs w:val="21"/>
                <w:highlight w:val="none"/>
                <w:shd w:val="clear" w:color="auto" w:fill="auto"/>
                <w:lang w:val="en-US" w:eastAsia="zh-CN" w:bidi="ar"/>
              </w:rPr>
              <w:t>，</w:t>
            </w:r>
            <w:r>
              <w:rPr>
                <w:rFonts w:hint="default" w:ascii="Times New Roman" w:hAnsi="Times New Roman" w:eastAsia="宋体" w:cs="Times New Roman"/>
                <w:b/>
                <w:color w:val="auto"/>
                <w:position w:val="-6"/>
                <w:sz w:val="21"/>
                <w:szCs w:val="21"/>
                <w:highlight w:val="none"/>
                <w:shd w:val="clear" w:color="auto" w:fill="auto"/>
              </w:rPr>
              <w:object>
                <v:shape id="_x0000_i1027" style="height:13.2pt;width:26.4pt;" coordsize="21600,21600" filled="f" stroked="f" o:spt="75" o:ole="t" type="#_x0000_t75">
                  <v:path/>
                  <v:fill on="f" focussize="0,0"/>
                  <v:stroke on="f"/>
                  <v:imagedata embosscolor="#FFFFFF" o:title="" r:id="rId7"/>
                  <o:lock v:ext="edit" aspectratio="t"/>
                  <w10:wrap type="none"/>
                  <w10:anchorlock/>
                </v:shape>
                <o:OLEObject Type="Embed" ProgID="Equation.3" ShapeID="_x0000_i1027" DrawAspect="Content" ObjectID="_1468075727" r:id="rId9">
                  <o:LockedField>false</o:LockedField>
                </o:OLEObject>
              </w:object>
            </w:r>
            <w:r>
              <w:rPr>
                <w:rFonts w:hint="default" w:ascii="Times New Roman" w:hAnsi="Times New Roman" w:eastAsia="宋体" w:cs="Times New Roman"/>
                <w:color w:val="auto"/>
                <w:sz w:val="21"/>
                <w:szCs w:val="21"/>
                <w:highlight w:val="none"/>
                <w:shd w:val="clear" w:color="auto" w:fill="auto"/>
                <w:lang w:val="en-US" w:eastAsia="zh-CN" w:bidi="ar"/>
              </w:rPr>
              <w:t>）</w:t>
            </w:r>
          </w:p>
        </w:tc>
        <w:tc>
          <w:tcPr>
            <w:tcW w:w="1089" w:type="pct"/>
            <w:noWrap w:val="0"/>
            <w:vAlign w:val="center"/>
          </w:tcPr>
          <w:p w14:paraId="518608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47.50±5.64</w:t>
            </w:r>
          </w:p>
        </w:tc>
        <w:tc>
          <w:tcPr>
            <w:tcW w:w="1089" w:type="pct"/>
            <w:noWrap w:val="0"/>
            <w:vAlign w:val="center"/>
          </w:tcPr>
          <w:p w14:paraId="5D2EBD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46.65±6.60</w:t>
            </w:r>
          </w:p>
        </w:tc>
        <w:tc>
          <w:tcPr>
            <w:tcW w:w="542" w:type="pct"/>
            <w:noWrap w:val="0"/>
            <w:vAlign w:val="top"/>
          </w:tcPr>
          <w:p w14:paraId="645440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cs="Times New Roman"/>
                <w:i/>
                <w:iCs/>
                <w:color w:val="auto"/>
                <w:sz w:val="21"/>
                <w:szCs w:val="21"/>
                <w:highlight w:val="none"/>
                <w:shd w:val="clear" w:color="auto" w:fill="auto"/>
                <w:lang w:val="en-US" w:eastAsia="zh-CN" w:bidi="ar"/>
              </w:rPr>
              <w:t>t</w:t>
            </w:r>
            <w:r>
              <w:rPr>
                <w:rFonts w:hint="eastAsia" w:ascii="Times New Roman" w:hAnsi="Times New Roman" w:cs="Times New Roman"/>
                <w:color w:val="auto"/>
                <w:sz w:val="21"/>
                <w:szCs w:val="21"/>
                <w:highlight w:val="none"/>
                <w:shd w:val="clear" w:color="auto" w:fill="auto"/>
                <w:lang w:val="en-US" w:eastAsia="zh-CN" w:bidi="ar"/>
              </w:rPr>
              <w:t>=</w:t>
            </w:r>
            <w:r>
              <w:rPr>
                <w:rFonts w:hint="default" w:ascii="Times New Roman" w:hAnsi="Times New Roman" w:eastAsia="宋体" w:cs="Times New Roman"/>
                <w:color w:val="auto"/>
                <w:sz w:val="21"/>
                <w:szCs w:val="21"/>
                <w:highlight w:val="none"/>
                <w:shd w:val="clear" w:color="auto" w:fill="auto"/>
                <w:lang w:val="en-US" w:eastAsia="zh-CN" w:bidi="ar"/>
              </w:rPr>
              <w:t>0.678</w:t>
            </w:r>
          </w:p>
        </w:tc>
        <w:tc>
          <w:tcPr>
            <w:tcW w:w="389" w:type="pct"/>
            <w:noWrap w:val="0"/>
            <w:vAlign w:val="top"/>
          </w:tcPr>
          <w:p w14:paraId="24A9AF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0.499</w:t>
            </w:r>
          </w:p>
        </w:tc>
      </w:tr>
      <w:tr w14:paraId="39815B5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0" w:type="pct"/>
            <w:noWrap w:val="0"/>
            <w:vAlign w:val="top"/>
          </w:tcPr>
          <w:p w14:paraId="4BB38C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卒中类型[例（%）]</w:t>
            </w:r>
          </w:p>
        </w:tc>
        <w:tc>
          <w:tcPr>
            <w:tcW w:w="1089" w:type="pct"/>
            <w:noWrap w:val="0"/>
            <w:vAlign w:val="center"/>
          </w:tcPr>
          <w:p w14:paraId="5D1C1D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p>
        </w:tc>
        <w:tc>
          <w:tcPr>
            <w:tcW w:w="1089" w:type="pct"/>
            <w:noWrap w:val="0"/>
            <w:vAlign w:val="top"/>
          </w:tcPr>
          <w:p w14:paraId="67180B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42" w:type="pct"/>
            <w:noWrap w:val="0"/>
            <w:vAlign w:val="top"/>
          </w:tcPr>
          <w:p w14:paraId="3B842D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sz w:val="21"/>
                <w:szCs w:val="21"/>
                <w:highlight w:val="none"/>
                <w:shd w:val="clear" w:color="auto" w:fill="auto"/>
              </w:rPr>
              <w:t>χ</w:t>
            </w:r>
            <w:r>
              <w:rPr>
                <w:rFonts w:hint="default" w:ascii="Times New Roman" w:hAnsi="Times New Roman" w:eastAsia="宋体" w:cs="Times New Roman"/>
                <w:i/>
                <w:iCs/>
                <w:color w:val="auto"/>
                <w:sz w:val="21"/>
                <w:szCs w:val="21"/>
                <w:highlight w:val="none"/>
                <w:shd w:val="clear" w:color="auto" w:fill="auto"/>
                <w:vertAlign w:val="superscript"/>
              </w:rPr>
              <w:t>2</w:t>
            </w:r>
            <w:r>
              <w:rPr>
                <w:rFonts w:hint="eastAsia" w:ascii="Times New Roman" w:hAnsi="Times New Roman" w:cs="Times New Roman"/>
                <w:color w:val="auto"/>
                <w:sz w:val="21"/>
                <w:szCs w:val="21"/>
                <w:highlight w:val="none"/>
                <w:shd w:val="clear" w:color="auto" w:fill="auto"/>
                <w:lang w:val="en-US" w:eastAsia="zh-CN" w:bidi="ar"/>
              </w:rPr>
              <w:t>=</w:t>
            </w:r>
            <w:r>
              <w:rPr>
                <w:rFonts w:hint="default" w:ascii="Times New Roman" w:hAnsi="Times New Roman" w:eastAsia="宋体" w:cs="Times New Roman"/>
                <w:color w:val="auto"/>
                <w:sz w:val="21"/>
                <w:szCs w:val="21"/>
                <w:highlight w:val="none"/>
                <w:shd w:val="clear" w:color="auto" w:fill="auto"/>
                <w:lang w:val="en-US" w:eastAsia="zh-CN" w:bidi="ar"/>
              </w:rPr>
              <w:t>0.490</w:t>
            </w:r>
          </w:p>
        </w:tc>
        <w:tc>
          <w:tcPr>
            <w:tcW w:w="389" w:type="pct"/>
            <w:noWrap w:val="0"/>
            <w:vAlign w:val="top"/>
          </w:tcPr>
          <w:p w14:paraId="1ACEFF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color w:val="auto"/>
                <w:sz w:val="21"/>
                <w:szCs w:val="21"/>
                <w:highlight w:val="none"/>
                <w:shd w:val="clear" w:color="auto" w:fill="auto"/>
                <w:lang w:val="en-US" w:eastAsia="zh-CN" w:bidi="ar"/>
              </w:rPr>
              <w:t>0.</w:t>
            </w:r>
            <w:r>
              <w:rPr>
                <w:rFonts w:hint="default" w:ascii="Times New Roman" w:hAnsi="Times New Roman" w:eastAsia="宋体" w:cs="Times New Roman"/>
                <w:color w:val="auto"/>
                <w:sz w:val="21"/>
                <w:szCs w:val="21"/>
                <w:highlight w:val="none"/>
                <w:shd w:val="clear" w:color="auto" w:fill="auto"/>
                <w:lang w:val="en-US" w:eastAsia="zh-CN" w:bidi="ar"/>
              </w:rPr>
              <w:t>484</w:t>
            </w:r>
          </w:p>
        </w:tc>
      </w:tr>
      <w:tr w14:paraId="60B9B13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0" w:type="pct"/>
            <w:noWrap w:val="0"/>
            <w:vAlign w:val="top"/>
          </w:tcPr>
          <w:p w14:paraId="2071CE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Times New Roman" w:hAnsi="Times New Roman" w:eastAsia="宋体" w:cs="Times New Roman"/>
                <w:color w:val="auto"/>
                <w:sz w:val="21"/>
                <w:szCs w:val="21"/>
                <w:highlight w:val="none"/>
                <w:shd w:val="clear" w:color="auto" w:fill="auto"/>
                <w:lang w:val="en-US" w:eastAsia="zh-CN" w:bidi="ar"/>
              </w:rPr>
            </w:pPr>
            <w:r>
              <w:rPr>
                <w:rFonts w:hint="eastAsia" w:ascii="Times New Roman" w:hAnsi="Times New Roman" w:eastAsia="宋体" w:cs="Times New Roman"/>
                <w:color w:val="auto"/>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脑出血</w:t>
            </w:r>
          </w:p>
        </w:tc>
        <w:tc>
          <w:tcPr>
            <w:tcW w:w="1089" w:type="pct"/>
            <w:noWrap w:val="0"/>
            <w:vAlign w:val="center"/>
          </w:tcPr>
          <w:p w14:paraId="4DAC3B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25（52.08）</w:t>
            </w:r>
          </w:p>
        </w:tc>
        <w:tc>
          <w:tcPr>
            <w:tcW w:w="1089" w:type="pct"/>
            <w:noWrap w:val="0"/>
            <w:vAlign w:val="center"/>
          </w:tcPr>
          <w:p w14:paraId="3E6F2F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28（58.33）</w:t>
            </w:r>
          </w:p>
        </w:tc>
        <w:tc>
          <w:tcPr>
            <w:tcW w:w="542" w:type="pct"/>
            <w:noWrap w:val="0"/>
            <w:vAlign w:val="top"/>
          </w:tcPr>
          <w:p w14:paraId="39121C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89" w:type="pct"/>
            <w:noWrap w:val="0"/>
            <w:vAlign w:val="top"/>
          </w:tcPr>
          <w:p w14:paraId="100A6F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r>
      <w:tr w14:paraId="02F74CA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0" w:type="pct"/>
            <w:noWrap w:val="0"/>
            <w:vAlign w:val="top"/>
          </w:tcPr>
          <w:p w14:paraId="03E328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Times New Roman" w:hAnsi="Times New Roman" w:eastAsia="宋体" w:cs="Times New Roman"/>
                <w:color w:val="auto"/>
                <w:sz w:val="21"/>
                <w:szCs w:val="21"/>
                <w:highlight w:val="none"/>
                <w:shd w:val="clear" w:color="auto" w:fill="auto"/>
                <w:lang w:val="en-US" w:eastAsia="zh-CN" w:bidi="ar"/>
              </w:rPr>
            </w:pPr>
            <w:r>
              <w:rPr>
                <w:rFonts w:hint="eastAsia" w:ascii="Times New Roman" w:hAnsi="Times New Roman" w:eastAsia="宋体" w:cs="Times New Roman"/>
                <w:color w:val="auto"/>
                <w:sz w:val="21"/>
                <w:szCs w:val="21"/>
                <w:highlight w:val="none"/>
                <w:shd w:val="clear" w:color="auto" w:fill="auto"/>
                <w:lang w:val="en-US" w:eastAsia="zh-CN" w:bidi="ar"/>
              </w:rPr>
              <w:t xml:space="preserve">  </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脑梗死</w:t>
            </w:r>
          </w:p>
        </w:tc>
        <w:tc>
          <w:tcPr>
            <w:tcW w:w="1089" w:type="pct"/>
            <w:noWrap w:val="0"/>
            <w:vAlign w:val="center"/>
          </w:tcPr>
          <w:p w14:paraId="48ED7C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23（47.92）</w:t>
            </w:r>
          </w:p>
        </w:tc>
        <w:tc>
          <w:tcPr>
            <w:tcW w:w="1089" w:type="pct"/>
            <w:noWrap w:val="0"/>
            <w:vAlign w:val="center"/>
          </w:tcPr>
          <w:p w14:paraId="505DBB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20（41.67）</w:t>
            </w:r>
          </w:p>
        </w:tc>
        <w:tc>
          <w:tcPr>
            <w:tcW w:w="542" w:type="pct"/>
            <w:noWrap w:val="0"/>
            <w:vAlign w:val="top"/>
          </w:tcPr>
          <w:p w14:paraId="60AA2A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89" w:type="pct"/>
            <w:noWrap w:val="0"/>
            <w:vAlign w:val="top"/>
          </w:tcPr>
          <w:p w14:paraId="676CE2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r>
    </w:tbl>
    <w:p w14:paraId="24996E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二、2组患者</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手部力量比较</w:t>
      </w:r>
      <w:bookmarkEnd w:id="79"/>
      <w:bookmarkEnd w:id="80"/>
    </w:p>
    <w:p w14:paraId="32C1CC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bCs w:val="0"/>
          <w:color w:val="auto"/>
          <w:kern w:val="2"/>
          <w:sz w:val="21"/>
          <w:szCs w:val="21"/>
          <w:highlight w:val="none"/>
          <w:shd w:val="clear" w:color="auto" w:fill="auto"/>
          <w:lang w:val="en-US" w:eastAsia="zh-CN" w:bidi="ar"/>
        </w:rPr>
      </w:pPr>
      <w:r>
        <w:rPr>
          <w:rFonts w:hint="default" w:ascii="Times New Roman" w:hAnsi="Times New Roman" w:eastAsia="宋体" w:cs="Times New Roman"/>
          <w:b w:val="0"/>
          <w:bCs/>
          <w:color w:val="auto"/>
          <w:kern w:val="2"/>
          <w:sz w:val="21"/>
          <w:szCs w:val="21"/>
          <w:highlight w:val="none"/>
          <w:shd w:val="clear" w:color="auto" w:fill="auto"/>
          <w:lang w:val="en-US" w:eastAsia="zh-CN" w:bidi="ar"/>
        </w:rPr>
        <w:t>干预前，</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2组</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脑</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卒中后偏瘫患者</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的</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最大握力</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和</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最大捏力比较</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，差异均无统计学意义</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r>
        <w:rPr>
          <w:rFonts w:hint="default" w:ascii="Times New Roman" w:hAnsi="Times New Roman" w:eastAsia="宋体" w:cs="Times New Roman"/>
          <w:i/>
          <w:iCs/>
          <w:color w:val="auto"/>
          <w:kern w:val="2"/>
          <w:sz w:val="21"/>
          <w:szCs w:val="21"/>
          <w:highlight w:val="none"/>
          <w:shd w:val="clear" w:color="auto" w:fill="auto"/>
          <w:lang w:val="en-US" w:eastAsia="zh-CN" w:bidi="ar"/>
        </w:rPr>
        <w:t>P</w:t>
      </w:r>
      <w:r>
        <w:rPr>
          <w:rFonts w:hint="eastAsia" w:ascii="Times New Roman" w:hAnsi="Times New Roman" w:eastAsia="宋体" w:cs="Times New Roman"/>
          <w:i w:val="0"/>
          <w:iCs w:val="0"/>
          <w:color w:val="auto"/>
          <w:kern w:val="2"/>
          <w:sz w:val="21"/>
          <w:szCs w:val="21"/>
          <w:highlight w:val="none"/>
          <w:shd w:val="clear" w:color="auto" w:fill="auto"/>
          <w:lang w:val="en-US" w:eastAsia="zh-CN" w:bidi="ar"/>
        </w:rPr>
        <w:t>均</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0.05</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，表2）</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w:t>
      </w:r>
      <w:bookmarkEnd w:id="81"/>
      <w:r>
        <w:rPr>
          <w:rFonts w:hint="default" w:ascii="Times New Roman" w:hAnsi="Times New Roman" w:eastAsia="宋体" w:cs="Times New Roman"/>
          <w:b w:val="0"/>
          <w:bCs/>
          <w:color w:val="auto"/>
          <w:kern w:val="2"/>
          <w:sz w:val="21"/>
          <w:szCs w:val="21"/>
          <w:highlight w:val="none"/>
          <w:shd w:val="clear" w:color="auto" w:fill="auto"/>
          <w:lang w:val="en-US" w:eastAsia="zh-CN" w:bidi="ar"/>
        </w:rPr>
        <w:t>干预3周后，</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2组</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脑</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卒中后偏瘫患者</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的</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最大握力</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和</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最大捏力均</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较干预前显著</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升高，</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差异均有统计学意义（</w:t>
      </w:r>
      <w:r>
        <w:rPr>
          <w:rFonts w:hint="default" w:ascii="Times New Roman" w:hAnsi="Times New Roman" w:eastAsia="宋体" w:cs="Times New Roman"/>
          <w:i/>
          <w:iCs/>
          <w:color w:val="auto"/>
          <w:kern w:val="2"/>
          <w:sz w:val="21"/>
          <w:szCs w:val="21"/>
          <w:highlight w:val="none"/>
          <w:shd w:val="clear" w:color="auto" w:fill="auto"/>
          <w:lang w:val="en-US" w:eastAsia="zh-CN" w:bidi="ar"/>
        </w:rPr>
        <w:t>P</w:t>
      </w:r>
      <w:r>
        <w:rPr>
          <w:rFonts w:hint="eastAsia" w:ascii="Times New Roman" w:hAnsi="Times New Roman" w:eastAsia="宋体" w:cs="Times New Roman"/>
          <w:i w:val="0"/>
          <w:iCs w:val="0"/>
          <w:color w:val="auto"/>
          <w:kern w:val="2"/>
          <w:sz w:val="21"/>
          <w:szCs w:val="21"/>
          <w:highlight w:val="none"/>
          <w:shd w:val="clear" w:color="auto" w:fill="auto"/>
          <w:lang w:val="en-US" w:eastAsia="zh-CN" w:bidi="ar"/>
        </w:rPr>
        <w:t>均</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&lt;</w:t>
      </w:r>
      <w:r>
        <w:rPr>
          <w:rFonts w:hint="default" w:ascii="Times New Roman" w:hAnsi="Times New Roman" w:eastAsia="宋体" w:cs="Times New Roman"/>
          <w:color w:val="auto"/>
          <w:kern w:val="2"/>
          <w:sz w:val="21"/>
          <w:szCs w:val="21"/>
          <w:highlight w:val="none"/>
          <w:shd w:val="clear" w:color="auto" w:fill="auto"/>
          <w:lang w:val="en-US" w:eastAsia="zh-CN" w:bidi="ar"/>
        </w:rPr>
        <w:t>0.05</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，表2</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w:t>
      </w:r>
      <w:bookmarkEnd w:id="82"/>
      <w:r>
        <w:rPr>
          <w:rFonts w:hint="eastAsia" w:ascii="Times New Roman" w:hAnsi="Times New Roman" w:eastAsia="宋体" w:cs="Times New Roman"/>
          <w:b w:val="0"/>
          <w:bCs/>
          <w:color w:val="auto"/>
          <w:kern w:val="2"/>
          <w:sz w:val="21"/>
          <w:szCs w:val="21"/>
          <w:highlight w:val="none"/>
          <w:shd w:val="clear" w:color="auto" w:fill="auto"/>
          <w:lang w:val="en-US" w:eastAsia="zh-CN" w:bidi="ar"/>
        </w:rPr>
        <w:t>试验组患者</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干预3周后</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的</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最大握力</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和</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最大捏力均</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显著</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高于对照组</w:t>
      </w:r>
      <w:r>
        <w:rPr>
          <w:rFonts w:hint="eastAsia" w:ascii="Times New Roman" w:hAnsi="Times New Roman" w:cs="Times New Roman"/>
          <w:b w:val="0"/>
          <w:bCs/>
          <w:color w:val="auto"/>
          <w:kern w:val="2"/>
          <w:sz w:val="21"/>
          <w:szCs w:val="21"/>
          <w:highlight w:val="none"/>
          <w:shd w:val="clear" w:color="auto" w:fill="auto"/>
          <w:lang w:val="en-US" w:eastAsia="zh-CN" w:bidi="ar"/>
        </w:rPr>
        <w:t>患者</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差异均有统计学意义（</w:t>
      </w:r>
      <w:r>
        <w:rPr>
          <w:rFonts w:hint="default" w:ascii="Times New Roman" w:hAnsi="Times New Roman" w:eastAsia="宋体" w:cs="Times New Roman"/>
          <w:i/>
          <w:iCs/>
          <w:color w:val="auto"/>
          <w:kern w:val="2"/>
          <w:sz w:val="21"/>
          <w:szCs w:val="21"/>
          <w:highlight w:val="none"/>
          <w:shd w:val="clear" w:color="auto" w:fill="auto"/>
          <w:lang w:val="en-US" w:eastAsia="zh-CN" w:bidi="ar"/>
        </w:rPr>
        <w:t>P</w:t>
      </w:r>
      <w:r>
        <w:rPr>
          <w:rFonts w:hint="eastAsia" w:ascii="Times New Roman" w:hAnsi="Times New Roman" w:eastAsia="宋体" w:cs="Times New Roman"/>
          <w:i w:val="0"/>
          <w:iCs w:val="0"/>
          <w:color w:val="auto"/>
          <w:kern w:val="2"/>
          <w:sz w:val="21"/>
          <w:szCs w:val="21"/>
          <w:highlight w:val="none"/>
          <w:shd w:val="clear" w:color="auto" w:fill="auto"/>
          <w:lang w:val="en-US" w:eastAsia="zh-CN" w:bidi="ar"/>
        </w:rPr>
        <w:t>均</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&lt;</w:t>
      </w:r>
      <w:r>
        <w:rPr>
          <w:rFonts w:hint="default" w:ascii="Times New Roman" w:hAnsi="Times New Roman" w:eastAsia="宋体" w:cs="Times New Roman"/>
          <w:color w:val="auto"/>
          <w:kern w:val="2"/>
          <w:sz w:val="21"/>
          <w:szCs w:val="21"/>
          <w:highlight w:val="none"/>
          <w:shd w:val="clear" w:color="auto" w:fill="auto"/>
          <w:lang w:val="en-US" w:eastAsia="zh-CN" w:bidi="ar"/>
        </w:rPr>
        <w:t>0.05</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，表2）。</w:t>
      </w:r>
    </w:p>
    <w:p w14:paraId="7099D3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
        </w:rPr>
      </w:pPr>
    </w:p>
    <w:p w14:paraId="3538C0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lang w:val="en-US" w:eastAsia="zh-CN" w:bidi="ar"/>
        </w:rPr>
      </w:pPr>
      <w:r>
        <w:rPr>
          <w:rFonts w:hint="default" w:ascii="Times New Roman" w:hAnsi="Times New Roman" w:eastAsia="宋体" w:cs="Times New Roman"/>
          <w:b/>
          <w:bCs/>
          <w:color w:val="auto"/>
          <w:kern w:val="2"/>
          <w:sz w:val="21"/>
          <w:szCs w:val="21"/>
          <w:highlight w:val="none"/>
          <w:shd w:val="clear" w:color="auto" w:fill="auto"/>
          <w:lang w:val="en-US" w:eastAsia="zh-CN" w:bidi="ar"/>
        </w:rPr>
        <w:t>表</w:t>
      </w:r>
      <w:r>
        <w:rPr>
          <w:rFonts w:hint="default" w:ascii="Times New Roman" w:hAnsi="Times New Roman" w:eastAsia="宋体" w:cs="Times New Roman"/>
          <w:b/>
          <w:bCs/>
          <w:color w:val="auto"/>
          <w:kern w:val="2"/>
          <w:sz w:val="21"/>
          <w:szCs w:val="21"/>
          <w:highlight w:val="none"/>
          <w:shd w:val="clear" w:color="auto" w:fill="auto"/>
          <w:lang w:val="en-US" w:eastAsia="zh-CN" w:bidi="ar"/>
        </w:rPr>
        <w:t xml:space="preserve">2 </w:t>
      </w:r>
      <w:r>
        <w:rPr>
          <w:rFonts w:hint="eastAsia" w:ascii="Times New Roman" w:hAnsi="Times New Roman" w:eastAsia="宋体" w:cs="Times New Roman"/>
          <w:b/>
          <w:bCs/>
          <w:color w:val="auto"/>
          <w:kern w:val="2"/>
          <w:sz w:val="21"/>
          <w:szCs w:val="21"/>
          <w:highlight w:val="none"/>
          <w:shd w:val="clear" w:color="auto" w:fill="auto"/>
          <w:lang w:val="en-US" w:eastAsia="zh-CN" w:bidi="ar"/>
        </w:rPr>
        <w:t xml:space="preserve"> </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2</w:t>
      </w:r>
      <w:bookmarkEnd w:id="83"/>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组脑</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卒中后偏瘫患者手部力量比较</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kg</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auto"/>
          <w:position w:val="-6"/>
          <w:sz w:val="21"/>
          <w:szCs w:val="21"/>
          <w:highlight w:val="none"/>
          <w:shd w:val="clear" w:color="auto" w:fill="auto"/>
        </w:rPr>
        <w:object>
          <v:shape id="_x0000_i1028" style="height:13.2pt;width:26.4pt;" coordsize="21600,21600" filled="f" stroked="f" o:spt="75" o:ole="t" type="#_x0000_t75">
            <v:path/>
            <v:fill on="f" focussize="0,0"/>
            <v:stroke on="f"/>
            <v:imagedata embosscolor="#FFFFFF" o:title="" r:id="rId7"/>
            <o:lock v:ext="edit" aspectratio="t"/>
            <w10:wrap type="none"/>
            <w10:anchorlock/>
          </v:shape>
          <o:OLEObject Type="Embed" ProgID="Equation.3" ShapeID="_x0000_i1028" DrawAspect="Content" ObjectID="_1468075728" r:id="rId10">
            <o:LockedField>false</o:LockedField>
          </o:OLEObject>
        </w:objec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w:t>
      </w:r>
      <w:bookmarkEnd w:id="84"/>
      <w:bookmarkEnd w:id="85"/>
    </w:p>
    <w:tbl>
      <w:tblPr>
        <w:tblStyle w:val="12"/>
        <w:tblW w:w="4995"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8"/>
        <w:gridCol w:w="656"/>
        <w:gridCol w:w="1172"/>
        <w:gridCol w:w="1419"/>
        <w:gridCol w:w="689"/>
        <w:gridCol w:w="807"/>
        <w:gridCol w:w="222"/>
        <w:gridCol w:w="1067"/>
        <w:gridCol w:w="1411"/>
        <w:gridCol w:w="794"/>
        <w:gridCol w:w="807"/>
      </w:tblGrid>
      <w:tr w14:paraId="11D3EA7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85" w:type="pct"/>
            <w:vMerge w:val="restart"/>
            <w:noWrap w:val="0"/>
            <w:vAlign w:val="center"/>
          </w:tcPr>
          <w:p w14:paraId="2CA4A7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组别</w:t>
            </w:r>
          </w:p>
        </w:tc>
        <w:tc>
          <w:tcPr>
            <w:tcW w:w="358" w:type="pct"/>
            <w:vMerge w:val="restart"/>
            <w:noWrap w:val="0"/>
            <w:vAlign w:val="center"/>
          </w:tcPr>
          <w:p w14:paraId="29EF2B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例数</w:t>
            </w:r>
          </w:p>
        </w:tc>
        <w:tc>
          <w:tcPr>
            <w:tcW w:w="2022" w:type="pct"/>
            <w:gridSpan w:val="4"/>
            <w:tcBorders>
              <w:bottom w:val="single" w:color="auto" w:sz="4" w:space="0"/>
            </w:tcBorders>
            <w:noWrap w:val="0"/>
            <w:vAlign w:val="center"/>
          </w:tcPr>
          <w:p w14:paraId="0B9C32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最大握力</w:t>
            </w:r>
          </w:p>
        </w:tc>
        <w:tc>
          <w:tcPr>
            <w:tcW w:w="111" w:type="pct"/>
            <w:vMerge w:val="restart"/>
            <w:noWrap w:val="0"/>
            <w:vAlign w:val="center"/>
          </w:tcPr>
          <w:p w14:paraId="6EC91A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2021" w:type="pct"/>
            <w:gridSpan w:val="4"/>
            <w:tcBorders>
              <w:bottom w:val="single" w:color="auto" w:sz="4" w:space="0"/>
            </w:tcBorders>
            <w:noWrap w:val="0"/>
            <w:vAlign w:val="center"/>
          </w:tcPr>
          <w:p w14:paraId="0719D6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最大捏力</w:t>
            </w:r>
          </w:p>
        </w:tc>
      </w:tr>
      <w:tr w14:paraId="6F6B7E8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85" w:type="pct"/>
            <w:vMerge w:val="continue"/>
            <w:tcBorders>
              <w:bottom w:val="single" w:color="auto" w:sz="4" w:space="0"/>
            </w:tcBorders>
            <w:noWrap w:val="0"/>
            <w:vAlign w:val="center"/>
          </w:tcPr>
          <w:p w14:paraId="2D5BF4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58" w:type="pct"/>
            <w:vMerge w:val="continue"/>
            <w:tcBorders>
              <w:bottom w:val="single" w:color="auto" w:sz="4" w:space="0"/>
            </w:tcBorders>
            <w:noWrap w:val="0"/>
            <w:vAlign w:val="center"/>
          </w:tcPr>
          <w:p w14:paraId="2D27E8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88" w:type="pct"/>
            <w:tcBorders>
              <w:top w:val="single" w:color="auto" w:sz="4" w:space="0"/>
              <w:bottom w:val="single" w:color="auto" w:sz="4" w:space="0"/>
            </w:tcBorders>
            <w:noWrap w:val="0"/>
            <w:vAlign w:val="center"/>
          </w:tcPr>
          <w:p w14:paraId="08E44E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干预前</w:t>
            </w:r>
          </w:p>
        </w:tc>
        <w:tc>
          <w:tcPr>
            <w:tcW w:w="741" w:type="pct"/>
            <w:tcBorders>
              <w:top w:val="single" w:color="auto" w:sz="4" w:space="0"/>
              <w:bottom w:val="single" w:color="auto" w:sz="4" w:space="0"/>
            </w:tcBorders>
            <w:noWrap w:val="0"/>
            <w:vAlign w:val="center"/>
          </w:tcPr>
          <w:p w14:paraId="3B33EF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干预3周后</w:t>
            </w:r>
          </w:p>
        </w:tc>
        <w:tc>
          <w:tcPr>
            <w:tcW w:w="346" w:type="pct"/>
            <w:tcBorders>
              <w:top w:val="single" w:color="auto" w:sz="4" w:space="0"/>
              <w:bottom w:val="single" w:color="auto" w:sz="4" w:space="0"/>
            </w:tcBorders>
            <w:noWrap w:val="0"/>
            <w:vAlign w:val="center"/>
          </w:tcPr>
          <w:p w14:paraId="1C9D84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t</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346" w:type="pct"/>
            <w:tcBorders>
              <w:top w:val="single" w:color="auto" w:sz="4" w:space="0"/>
              <w:bottom w:val="single" w:color="auto" w:sz="4" w:space="0"/>
            </w:tcBorders>
            <w:noWrap w:val="0"/>
            <w:vAlign w:val="center"/>
          </w:tcPr>
          <w:p w14:paraId="40EE64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P</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111" w:type="pct"/>
            <w:vMerge w:val="continue"/>
            <w:tcBorders>
              <w:bottom w:val="single" w:color="auto" w:sz="4" w:space="0"/>
            </w:tcBorders>
            <w:noWrap w:val="0"/>
            <w:vAlign w:val="center"/>
          </w:tcPr>
          <w:p w14:paraId="6EFFEA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35" w:type="pct"/>
            <w:tcBorders>
              <w:top w:val="single" w:color="auto" w:sz="4" w:space="0"/>
              <w:bottom w:val="single" w:color="auto" w:sz="4" w:space="0"/>
            </w:tcBorders>
            <w:noWrap w:val="0"/>
            <w:vAlign w:val="center"/>
          </w:tcPr>
          <w:p w14:paraId="49D88F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干预前</w:t>
            </w:r>
          </w:p>
        </w:tc>
        <w:tc>
          <w:tcPr>
            <w:tcW w:w="737" w:type="pct"/>
            <w:tcBorders>
              <w:top w:val="single" w:color="auto" w:sz="4" w:space="0"/>
              <w:bottom w:val="single" w:color="auto" w:sz="4" w:space="0"/>
            </w:tcBorders>
            <w:noWrap w:val="0"/>
            <w:vAlign w:val="center"/>
          </w:tcPr>
          <w:p w14:paraId="3D5C1D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干预3周后</w:t>
            </w:r>
          </w:p>
        </w:tc>
        <w:tc>
          <w:tcPr>
            <w:tcW w:w="399" w:type="pct"/>
            <w:tcBorders>
              <w:top w:val="single" w:color="auto" w:sz="4" w:space="0"/>
              <w:bottom w:val="single" w:color="auto" w:sz="4" w:space="0"/>
            </w:tcBorders>
            <w:noWrap w:val="0"/>
            <w:vAlign w:val="center"/>
          </w:tcPr>
          <w:p w14:paraId="7CB637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t</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348" w:type="pct"/>
            <w:tcBorders>
              <w:top w:val="single" w:color="auto" w:sz="4" w:space="0"/>
              <w:bottom w:val="single" w:color="auto" w:sz="4" w:space="0"/>
            </w:tcBorders>
            <w:noWrap w:val="0"/>
            <w:vAlign w:val="center"/>
          </w:tcPr>
          <w:p w14:paraId="3FA293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P</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r>
      <w:tr w14:paraId="2E3FE6A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85" w:type="pct"/>
            <w:tcBorders>
              <w:top w:val="single" w:color="auto" w:sz="4" w:space="0"/>
            </w:tcBorders>
            <w:noWrap w:val="0"/>
            <w:vAlign w:val="center"/>
          </w:tcPr>
          <w:p w14:paraId="3CD749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对照组</w:t>
            </w:r>
          </w:p>
        </w:tc>
        <w:tc>
          <w:tcPr>
            <w:tcW w:w="358" w:type="pct"/>
            <w:tcBorders>
              <w:top w:val="single" w:color="auto" w:sz="4" w:space="0"/>
            </w:tcBorders>
            <w:noWrap w:val="0"/>
            <w:vAlign w:val="center"/>
          </w:tcPr>
          <w:p w14:paraId="2F7429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48</w:t>
            </w:r>
          </w:p>
        </w:tc>
        <w:tc>
          <w:tcPr>
            <w:tcW w:w="588" w:type="pct"/>
            <w:tcBorders>
              <w:top w:val="single" w:color="auto" w:sz="4" w:space="0"/>
            </w:tcBorders>
            <w:noWrap w:val="0"/>
            <w:vAlign w:val="center"/>
          </w:tcPr>
          <w:p w14:paraId="591AE1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 xml:space="preserve">12.14±3.22 </w:t>
            </w:r>
          </w:p>
        </w:tc>
        <w:tc>
          <w:tcPr>
            <w:tcW w:w="741" w:type="pct"/>
            <w:tcBorders>
              <w:top w:val="single" w:color="auto" w:sz="4" w:space="0"/>
            </w:tcBorders>
            <w:noWrap w:val="0"/>
            <w:vAlign w:val="center"/>
          </w:tcPr>
          <w:p w14:paraId="08AB8C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15.66</w:t>
            </w:r>
            <w:r>
              <w:rPr>
                <w:rFonts w:hint="default" w:ascii="Times New Roman" w:hAnsi="Times New Roman" w:eastAsia="宋体" w:cs="Times New Roman"/>
                <w:color w:val="auto"/>
                <w:sz w:val="21"/>
                <w:szCs w:val="21"/>
                <w:highlight w:val="none"/>
                <w:shd w:val="clear" w:color="auto" w:fill="auto"/>
                <w:lang w:val="en-US" w:eastAsia="zh-CN" w:bidi="ar"/>
              </w:rPr>
              <w:t>±3.65</w:t>
            </w:r>
          </w:p>
        </w:tc>
        <w:tc>
          <w:tcPr>
            <w:tcW w:w="346" w:type="pct"/>
            <w:tcBorders>
              <w:top w:val="single" w:color="auto" w:sz="4" w:space="0"/>
            </w:tcBorders>
            <w:noWrap w:val="0"/>
            <w:vAlign w:val="center"/>
          </w:tcPr>
          <w:p w14:paraId="47176F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5.067</w:t>
            </w:r>
          </w:p>
        </w:tc>
        <w:tc>
          <w:tcPr>
            <w:tcW w:w="346" w:type="pct"/>
            <w:tcBorders>
              <w:top w:val="single" w:color="auto" w:sz="4" w:space="0"/>
            </w:tcBorders>
            <w:noWrap w:val="0"/>
            <w:vAlign w:val="center"/>
          </w:tcPr>
          <w:p w14:paraId="57040C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11" w:type="pct"/>
            <w:tcBorders>
              <w:top w:val="single" w:color="auto" w:sz="4" w:space="0"/>
            </w:tcBorders>
            <w:noWrap w:val="0"/>
            <w:vAlign w:val="center"/>
          </w:tcPr>
          <w:p w14:paraId="543133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35" w:type="pct"/>
            <w:tcBorders>
              <w:top w:val="single" w:color="auto" w:sz="4" w:space="0"/>
            </w:tcBorders>
            <w:noWrap w:val="0"/>
            <w:vAlign w:val="center"/>
          </w:tcPr>
          <w:p w14:paraId="4550E6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3.04±1.19</w:t>
            </w:r>
          </w:p>
        </w:tc>
        <w:tc>
          <w:tcPr>
            <w:tcW w:w="737" w:type="pct"/>
            <w:tcBorders>
              <w:top w:val="single" w:color="auto" w:sz="4" w:space="0"/>
            </w:tcBorders>
            <w:noWrap w:val="0"/>
            <w:vAlign w:val="center"/>
          </w:tcPr>
          <w:p w14:paraId="06679E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4.59</w:t>
            </w:r>
            <w:r>
              <w:rPr>
                <w:rFonts w:hint="default" w:ascii="Times New Roman" w:hAnsi="Times New Roman" w:eastAsia="宋体" w:cs="Times New Roman"/>
                <w:color w:val="auto"/>
                <w:sz w:val="21"/>
                <w:szCs w:val="21"/>
                <w:highlight w:val="none"/>
                <w:shd w:val="clear" w:color="auto" w:fill="auto"/>
                <w:lang w:val="en-US" w:eastAsia="zh-CN" w:bidi="ar"/>
              </w:rPr>
              <w:t>±1.54</w:t>
            </w:r>
          </w:p>
        </w:tc>
        <w:tc>
          <w:tcPr>
            <w:tcW w:w="399" w:type="pct"/>
            <w:tcBorders>
              <w:top w:val="single" w:color="auto" w:sz="4" w:space="0"/>
            </w:tcBorders>
            <w:noWrap w:val="0"/>
            <w:vAlign w:val="center"/>
          </w:tcPr>
          <w:p w14:paraId="57EC5C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12.203</w:t>
            </w:r>
          </w:p>
        </w:tc>
        <w:tc>
          <w:tcPr>
            <w:tcW w:w="348" w:type="pct"/>
            <w:tcBorders>
              <w:top w:val="single" w:color="auto" w:sz="4" w:space="0"/>
            </w:tcBorders>
            <w:noWrap w:val="0"/>
            <w:vAlign w:val="center"/>
          </w:tcPr>
          <w:p w14:paraId="42A251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r w14:paraId="6DA5DA4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85" w:type="pct"/>
            <w:tcBorders>
              <w:bottom w:val="single" w:color="auto" w:sz="4" w:space="0"/>
            </w:tcBorders>
            <w:noWrap w:val="0"/>
            <w:vAlign w:val="center"/>
          </w:tcPr>
          <w:p w14:paraId="24FBF1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试验组</w:t>
            </w:r>
          </w:p>
        </w:tc>
        <w:tc>
          <w:tcPr>
            <w:tcW w:w="358" w:type="pct"/>
            <w:tcBorders>
              <w:bottom w:val="single" w:color="auto" w:sz="4" w:space="0"/>
            </w:tcBorders>
            <w:noWrap w:val="0"/>
            <w:vAlign w:val="center"/>
          </w:tcPr>
          <w:p w14:paraId="2C675B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48</w:t>
            </w:r>
          </w:p>
        </w:tc>
        <w:tc>
          <w:tcPr>
            <w:tcW w:w="588" w:type="pct"/>
            <w:tcBorders>
              <w:bottom w:val="single" w:color="auto" w:sz="4" w:space="0"/>
            </w:tcBorders>
            <w:noWrap w:val="0"/>
            <w:vAlign w:val="center"/>
          </w:tcPr>
          <w:p w14:paraId="57567C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11.87±3.39</w:t>
            </w:r>
          </w:p>
        </w:tc>
        <w:tc>
          <w:tcPr>
            <w:tcW w:w="741" w:type="pct"/>
            <w:tcBorders>
              <w:bottom w:val="single" w:color="auto" w:sz="4" w:space="0"/>
            </w:tcBorders>
            <w:noWrap w:val="0"/>
            <w:vAlign w:val="center"/>
          </w:tcPr>
          <w:p w14:paraId="3A679C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20.65±3.73</w:t>
            </w:r>
          </w:p>
        </w:tc>
        <w:tc>
          <w:tcPr>
            <w:tcW w:w="346" w:type="pct"/>
            <w:tcBorders>
              <w:bottom w:val="single" w:color="auto" w:sz="4" w:space="0"/>
            </w:tcBorders>
            <w:noWrap w:val="0"/>
            <w:vAlign w:val="center"/>
          </w:tcPr>
          <w:p w14:paraId="4E19FA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5.588</w:t>
            </w:r>
          </w:p>
        </w:tc>
        <w:tc>
          <w:tcPr>
            <w:tcW w:w="346" w:type="pct"/>
            <w:tcBorders>
              <w:bottom w:val="single" w:color="auto" w:sz="4" w:space="0"/>
            </w:tcBorders>
            <w:noWrap w:val="0"/>
            <w:vAlign w:val="center"/>
          </w:tcPr>
          <w:p w14:paraId="63E767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11" w:type="pct"/>
            <w:tcBorders>
              <w:bottom w:val="single" w:color="auto" w:sz="4" w:space="0"/>
            </w:tcBorders>
            <w:noWrap w:val="0"/>
            <w:vAlign w:val="center"/>
          </w:tcPr>
          <w:p w14:paraId="494486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35" w:type="pct"/>
            <w:tcBorders>
              <w:bottom w:val="single" w:color="auto" w:sz="4" w:space="0"/>
            </w:tcBorders>
            <w:noWrap w:val="0"/>
            <w:vAlign w:val="center"/>
          </w:tcPr>
          <w:p w14:paraId="4D0448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2.93±1.23</w:t>
            </w:r>
          </w:p>
        </w:tc>
        <w:tc>
          <w:tcPr>
            <w:tcW w:w="737" w:type="pct"/>
            <w:tcBorders>
              <w:bottom w:val="single" w:color="auto" w:sz="4" w:space="0"/>
            </w:tcBorders>
            <w:noWrap w:val="0"/>
            <w:vAlign w:val="center"/>
          </w:tcPr>
          <w:p w14:paraId="5204C5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7.35</w:t>
            </w:r>
            <w:r>
              <w:rPr>
                <w:rFonts w:hint="default" w:ascii="Times New Roman" w:hAnsi="Times New Roman" w:eastAsia="宋体" w:cs="Times New Roman"/>
                <w:color w:val="auto"/>
                <w:sz w:val="21"/>
                <w:szCs w:val="21"/>
                <w:highlight w:val="none"/>
                <w:shd w:val="clear" w:color="auto" w:fill="auto"/>
                <w:lang w:val="en-US" w:eastAsia="zh-CN" w:bidi="ar"/>
              </w:rPr>
              <w:t>±1.67</w:t>
            </w:r>
          </w:p>
        </w:tc>
        <w:tc>
          <w:tcPr>
            <w:tcW w:w="399" w:type="pct"/>
            <w:tcBorders>
              <w:bottom w:val="single" w:color="auto" w:sz="4" w:space="0"/>
            </w:tcBorders>
            <w:noWrap w:val="0"/>
            <w:vAlign w:val="center"/>
          </w:tcPr>
          <w:p w14:paraId="55A2E2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14.960</w:t>
            </w:r>
          </w:p>
        </w:tc>
        <w:tc>
          <w:tcPr>
            <w:tcW w:w="348" w:type="pct"/>
            <w:tcBorders>
              <w:bottom w:val="single" w:color="auto" w:sz="4" w:space="0"/>
            </w:tcBorders>
            <w:noWrap w:val="0"/>
            <w:vAlign w:val="center"/>
          </w:tcPr>
          <w:p w14:paraId="3AD7A8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r w14:paraId="744F233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85" w:type="pct"/>
            <w:tcBorders>
              <w:top w:val="single" w:color="auto" w:sz="4" w:space="0"/>
            </w:tcBorders>
            <w:noWrap w:val="0"/>
            <w:vAlign w:val="center"/>
          </w:tcPr>
          <w:p w14:paraId="67ED58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t</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358" w:type="pct"/>
            <w:tcBorders>
              <w:top w:val="single" w:color="auto" w:sz="4" w:space="0"/>
            </w:tcBorders>
            <w:noWrap w:val="0"/>
            <w:vAlign w:val="center"/>
          </w:tcPr>
          <w:p w14:paraId="2AF666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pPr>
          </w:p>
        </w:tc>
        <w:tc>
          <w:tcPr>
            <w:tcW w:w="588" w:type="pct"/>
            <w:tcBorders>
              <w:top w:val="single" w:color="auto" w:sz="4" w:space="0"/>
            </w:tcBorders>
            <w:noWrap w:val="0"/>
            <w:vAlign w:val="center"/>
          </w:tcPr>
          <w:p w14:paraId="04B6E2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0.400</w:t>
            </w:r>
          </w:p>
        </w:tc>
        <w:tc>
          <w:tcPr>
            <w:tcW w:w="741" w:type="pct"/>
            <w:tcBorders>
              <w:top w:val="single" w:color="auto" w:sz="4" w:space="0"/>
            </w:tcBorders>
            <w:noWrap w:val="0"/>
            <w:vAlign w:val="center"/>
          </w:tcPr>
          <w:p w14:paraId="4A07F7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6.624</w:t>
            </w:r>
          </w:p>
        </w:tc>
        <w:tc>
          <w:tcPr>
            <w:tcW w:w="346" w:type="pct"/>
            <w:tcBorders>
              <w:top w:val="single" w:color="auto" w:sz="4" w:space="0"/>
            </w:tcBorders>
            <w:noWrap w:val="0"/>
            <w:vAlign w:val="center"/>
          </w:tcPr>
          <w:p w14:paraId="314B37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46" w:type="pct"/>
            <w:tcBorders>
              <w:top w:val="single" w:color="auto" w:sz="4" w:space="0"/>
            </w:tcBorders>
            <w:noWrap w:val="0"/>
            <w:vAlign w:val="center"/>
          </w:tcPr>
          <w:p w14:paraId="5BF6BF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111" w:type="pct"/>
            <w:tcBorders>
              <w:top w:val="single" w:color="auto" w:sz="4" w:space="0"/>
            </w:tcBorders>
            <w:noWrap w:val="0"/>
            <w:vAlign w:val="center"/>
          </w:tcPr>
          <w:p w14:paraId="2F7DA3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35" w:type="pct"/>
            <w:tcBorders>
              <w:top w:val="single" w:color="auto" w:sz="4" w:space="0"/>
            </w:tcBorders>
            <w:noWrap w:val="0"/>
            <w:vAlign w:val="center"/>
          </w:tcPr>
          <w:p w14:paraId="67CF05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0.445</w:t>
            </w:r>
          </w:p>
        </w:tc>
        <w:tc>
          <w:tcPr>
            <w:tcW w:w="737" w:type="pct"/>
            <w:tcBorders>
              <w:top w:val="single" w:color="auto" w:sz="4" w:space="0"/>
            </w:tcBorders>
            <w:noWrap w:val="0"/>
            <w:vAlign w:val="center"/>
          </w:tcPr>
          <w:p w14:paraId="6E0336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8.417</w:t>
            </w:r>
          </w:p>
        </w:tc>
        <w:tc>
          <w:tcPr>
            <w:tcW w:w="399" w:type="pct"/>
            <w:tcBorders>
              <w:top w:val="single" w:color="auto" w:sz="4" w:space="0"/>
            </w:tcBorders>
            <w:noWrap w:val="0"/>
            <w:vAlign w:val="center"/>
          </w:tcPr>
          <w:p w14:paraId="119379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48" w:type="pct"/>
            <w:tcBorders>
              <w:top w:val="single" w:color="auto" w:sz="4" w:space="0"/>
            </w:tcBorders>
            <w:noWrap w:val="0"/>
            <w:vAlign w:val="center"/>
          </w:tcPr>
          <w:p w14:paraId="0F704A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r>
      <w:tr w14:paraId="5F7D979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85" w:type="pct"/>
            <w:noWrap w:val="0"/>
            <w:vAlign w:val="center"/>
          </w:tcPr>
          <w:p w14:paraId="1C9528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P</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358" w:type="pct"/>
            <w:noWrap w:val="0"/>
            <w:vAlign w:val="center"/>
          </w:tcPr>
          <w:p w14:paraId="1EE3CA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pPr>
          </w:p>
        </w:tc>
        <w:tc>
          <w:tcPr>
            <w:tcW w:w="588" w:type="pct"/>
            <w:noWrap w:val="0"/>
            <w:vAlign w:val="center"/>
          </w:tcPr>
          <w:p w14:paraId="08ACA4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0.690</w:t>
            </w:r>
          </w:p>
        </w:tc>
        <w:tc>
          <w:tcPr>
            <w:tcW w:w="741" w:type="pct"/>
            <w:noWrap w:val="0"/>
            <w:vAlign w:val="center"/>
          </w:tcPr>
          <w:p w14:paraId="18EB2E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346" w:type="pct"/>
            <w:noWrap w:val="0"/>
            <w:vAlign w:val="center"/>
          </w:tcPr>
          <w:p w14:paraId="5F717E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46" w:type="pct"/>
            <w:noWrap w:val="0"/>
            <w:vAlign w:val="center"/>
          </w:tcPr>
          <w:p w14:paraId="1561C6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111" w:type="pct"/>
            <w:noWrap w:val="0"/>
            <w:vAlign w:val="center"/>
          </w:tcPr>
          <w:p w14:paraId="0EF259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35" w:type="pct"/>
            <w:noWrap w:val="0"/>
            <w:vAlign w:val="center"/>
          </w:tcPr>
          <w:p w14:paraId="282399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0.657</w:t>
            </w:r>
          </w:p>
        </w:tc>
        <w:tc>
          <w:tcPr>
            <w:tcW w:w="737" w:type="pct"/>
            <w:noWrap w:val="0"/>
            <w:vAlign w:val="center"/>
          </w:tcPr>
          <w:p w14:paraId="28C523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399" w:type="pct"/>
            <w:noWrap w:val="0"/>
            <w:vAlign w:val="center"/>
          </w:tcPr>
          <w:p w14:paraId="638A55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48" w:type="pct"/>
            <w:noWrap w:val="0"/>
            <w:vAlign w:val="center"/>
          </w:tcPr>
          <w:p w14:paraId="77D797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r>
    </w:tbl>
    <w:p w14:paraId="7D84E7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color w:val="auto"/>
          <w:kern w:val="2"/>
          <w:sz w:val="21"/>
          <w:szCs w:val="21"/>
          <w:highlight w:val="none"/>
          <w:shd w:val="clear" w:color="auto" w:fill="auto"/>
          <w:lang w:val="en-US" w:eastAsia="zh-CN" w:bidi="ar"/>
        </w:rPr>
        <w:t>三、2组患者</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运动功能和肌张力比较</w:t>
      </w:r>
      <w:bookmarkEnd w:id="86"/>
      <w:bookmarkEnd w:id="87"/>
    </w:p>
    <w:p w14:paraId="15EB49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bCs w:val="0"/>
          <w:color w:val="auto"/>
          <w:kern w:val="2"/>
          <w:sz w:val="21"/>
          <w:szCs w:val="21"/>
          <w:highlight w:val="none"/>
          <w:shd w:val="clear" w:color="auto" w:fill="auto"/>
          <w:lang w:val="en-US" w:eastAsia="zh-CN" w:bidi="ar"/>
        </w:rPr>
      </w:pPr>
      <w:r>
        <w:rPr>
          <w:rFonts w:hint="default" w:ascii="Times New Roman" w:hAnsi="Times New Roman" w:eastAsia="宋体" w:cs="Times New Roman"/>
          <w:b w:val="0"/>
          <w:bCs/>
          <w:color w:val="auto"/>
          <w:kern w:val="2"/>
          <w:sz w:val="21"/>
          <w:szCs w:val="21"/>
          <w:highlight w:val="none"/>
          <w:shd w:val="clear" w:color="auto" w:fill="auto"/>
          <w:lang w:val="en-US" w:eastAsia="zh-CN" w:bidi="ar"/>
        </w:rPr>
        <w:t>干预前，2组脑卒中后偏瘫患者的FMA-UE评分和MAS评分比较，差异均无统计学意义（</w:t>
      </w:r>
      <w:r>
        <w:rPr>
          <w:rFonts w:hint="default" w:ascii="Times New Roman" w:hAnsi="Times New Roman" w:eastAsia="宋体" w:cs="Times New Roman"/>
          <w:b w:val="0"/>
          <w:bCs/>
          <w:i/>
          <w:iCs/>
          <w:color w:val="auto"/>
          <w:kern w:val="2"/>
          <w:sz w:val="21"/>
          <w:szCs w:val="21"/>
          <w:highlight w:val="none"/>
          <w:shd w:val="clear" w:color="auto" w:fill="auto"/>
          <w:lang w:val="en-US" w:eastAsia="zh-CN" w:bidi="ar"/>
        </w:rPr>
        <w:t>P</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均＞0.05，表3）。</w:t>
      </w:r>
      <w:bookmarkEnd w:id="88"/>
      <w:r>
        <w:rPr>
          <w:rFonts w:hint="default" w:ascii="Times New Roman" w:hAnsi="Times New Roman" w:eastAsia="宋体" w:cs="Times New Roman"/>
          <w:b w:val="0"/>
          <w:bCs/>
          <w:color w:val="auto"/>
          <w:kern w:val="2"/>
          <w:sz w:val="21"/>
          <w:szCs w:val="21"/>
          <w:highlight w:val="none"/>
          <w:shd w:val="clear" w:color="auto" w:fill="auto"/>
          <w:lang w:val="en-US" w:eastAsia="zh-CN" w:bidi="ar"/>
        </w:rPr>
        <w:t>干预3周后，2组</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脑</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卒中后偏瘫患者</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的FMA-UE评分均较干预前显著升高，MAS评分均较干预前显著降低</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，差异均有统计学意义</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i/>
          <w:iCs/>
          <w:color w:val="auto"/>
          <w:kern w:val="2"/>
          <w:sz w:val="21"/>
          <w:szCs w:val="21"/>
          <w:highlight w:val="none"/>
          <w:shd w:val="clear" w:color="auto" w:fill="auto"/>
          <w:lang w:val="en-US" w:eastAsia="zh-CN" w:bidi="ar"/>
        </w:rPr>
        <w:t>P</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均&lt;0.05，表3）</w:t>
      </w:r>
      <w:r>
        <w:rPr>
          <w:rFonts w:hint="eastAsia" w:ascii="Times New Roman" w:hAnsi="Times New Roman" w:cs="Times New Roman"/>
          <w:b w:val="0"/>
          <w:bCs/>
          <w:color w:val="auto"/>
          <w:kern w:val="2"/>
          <w:sz w:val="21"/>
          <w:szCs w:val="21"/>
          <w:highlight w:val="none"/>
          <w:shd w:val="clear" w:color="auto" w:fill="auto"/>
          <w:lang w:val="en-US" w:eastAsia="zh-CN" w:bidi="ar"/>
        </w:rPr>
        <w:t>；</w:t>
      </w:r>
      <w:bookmarkEnd w:id="89"/>
      <w:r>
        <w:rPr>
          <w:rFonts w:hint="default" w:ascii="Times New Roman" w:hAnsi="Times New Roman" w:eastAsia="宋体" w:cs="Times New Roman"/>
          <w:b w:val="0"/>
          <w:bCs/>
          <w:color w:val="auto"/>
          <w:kern w:val="2"/>
          <w:sz w:val="21"/>
          <w:szCs w:val="21"/>
          <w:highlight w:val="none"/>
          <w:shd w:val="clear" w:color="auto" w:fill="auto"/>
          <w:lang w:val="en-US" w:eastAsia="zh-CN" w:bidi="ar"/>
        </w:rPr>
        <w:t>试验组患者干预3周后的FMA-UE评分显著高于对照组</w:t>
      </w:r>
      <w:r>
        <w:rPr>
          <w:rFonts w:hint="eastAsia" w:ascii="Times New Roman" w:hAnsi="Times New Roman" w:cs="Times New Roman"/>
          <w:b w:val="0"/>
          <w:bCs/>
          <w:color w:val="auto"/>
          <w:kern w:val="2"/>
          <w:sz w:val="21"/>
          <w:szCs w:val="21"/>
          <w:highlight w:val="none"/>
          <w:shd w:val="clear" w:color="auto" w:fill="auto"/>
          <w:lang w:val="en-US" w:eastAsia="zh-CN" w:bidi="ar"/>
        </w:rPr>
        <w:t>患者</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，MAS评分显著低于对照组</w:t>
      </w:r>
      <w:r>
        <w:rPr>
          <w:rFonts w:hint="eastAsia" w:ascii="Times New Roman" w:hAnsi="Times New Roman" w:cs="Times New Roman"/>
          <w:i w:val="0"/>
          <w:iCs w:val="0"/>
          <w:caps w:val="0"/>
          <w:color w:val="auto"/>
          <w:spacing w:val="0"/>
          <w:sz w:val="21"/>
          <w:szCs w:val="21"/>
          <w:highlight w:val="none"/>
          <w:shd w:val="clear" w:color="auto" w:fill="auto"/>
          <w:lang w:val="en-US" w:eastAsia="zh-CN"/>
        </w:rPr>
        <w:t>患者</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r>
        <w:rPr>
          <w:rFonts w:hint="eastAsia" w:ascii="Times New Roman" w:hAnsi="Times New Roman" w:eastAsia="宋体" w:cs="Times New Roman"/>
          <w:b w:val="0"/>
          <w:bCs/>
          <w:color w:val="auto"/>
          <w:kern w:val="2"/>
          <w:sz w:val="21"/>
          <w:szCs w:val="21"/>
          <w:highlight w:val="none"/>
          <w:shd w:val="clear" w:color="auto" w:fill="auto"/>
          <w:lang w:val="en-US" w:eastAsia="zh-CN" w:bidi="ar"/>
        </w:rPr>
        <w:t>差异均有统计学意义</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i/>
          <w:iCs/>
          <w:color w:val="auto"/>
          <w:kern w:val="2"/>
          <w:sz w:val="21"/>
          <w:szCs w:val="21"/>
          <w:highlight w:val="none"/>
          <w:shd w:val="clear" w:color="auto" w:fill="auto"/>
          <w:lang w:val="en-US" w:eastAsia="zh-CN" w:bidi="ar"/>
        </w:rPr>
        <w:t>P</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均&lt;0.05，表3）。</w:t>
      </w:r>
    </w:p>
    <w:p w14:paraId="50CD9A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
        </w:rPr>
      </w:pPr>
    </w:p>
    <w:p w14:paraId="15F3B6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
        </w:rPr>
      </w:pPr>
      <w:r>
        <w:rPr>
          <w:rFonts w:hint="default" w:ascii="Times New Roman" w:hAnsi="Times New Roman" w:eastAsia="宋体" w:cs="Times New Roman"/>
          <w:b/>
          <w:bCs/>
          <w:color w:val="auto"/>
          <w:kern w:val="2"/>
          <w:sz w:val="21"/>
          <w:szCs w:val="21"/>
          <w:highlight w:val="none"/>
          <w:shd w:val="clear" w:color="auto" w:fill="auto"/>
          <w:lang w:val="en-US" w:eastAsia="zh-CN" w:bidi="ar"/>
        </w:rPr>
        <w:t>表</w:t>
      </w:r>
      <w:r>
        <w:rPr>
          <w:rFonts w:hint="eastAsia" w:ascii="Times New Roman" w:hAnsi="Times New Roman" w:eastAsia="宋体" w:cs="Times New Roman"/>
          <w:b/>
          <w:bCs/>
          <w:color w:val="auto"/>
          <w:kern w:val="2"/>
          <w:sz w:val="21"/>
          <w:szCs w:val="21"/>
          <w:highlight w:val="none"/>
          <w:shd w:val="clear" w:color="auto" w:fill="auto"/>
          <w:lang w:val="en-US" w:eastAsia="zh-CN" w:bidi="ar"/>
        </w:rPr>
        <w:t>3</w:t>
      </w:r>
      <w:r>
        <w:rPr>
          <w:rFonts w:hint="default" w:ascii="Times New Roman" w:hAnsi="Times New Roman" w:eastAsia="宋体" w:cs="Times New Roman"/>
          <w:b/>
          <w:bCs/>
          <w:color w:val="auto"/>
          <w:kern w:val="2"/>
          <w:sz w:val="21"/>
          <w:szCs w:val="21"/>
          <w:highlight w:val="none"/>
          <w:shd w:val="clear" w:color="auto" w:fill="auto"/>
          <w:lang w:val="en-US" w:eastAsia="zh-CN" w:bidi="ar"/>
        </w:rPr>
        <w:t xml:space="preserve"> </w:t>
      </w:r>
      <w:r>
        <w:rPr>
          <w:rFonts w:hint="eastAsia" w:ascii="Times New Roman" w:hAnsi="Times New Roman" w:eastAsia="宋体" w:cs="Times New Roman"/>
          <w:b/>
          <w:bCs/>
          <w:color w:val="auto"/>
          <w:kern w:val="2"/>
          <w:sz w:val="21"/>
          <w:szCs w:val="21"/>
          <w:highlight w:val="none"/>
          <w:shd w:val="clear" w:color="auto" w:fill="auto"/>
          <w:lang w:val="en-US" w:eastAsia="zh-CN" w:bidi="ar"/>
        </w:rPr>
        <w:t xml:space="preserve"> </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2</w:t>
      </w:r>
      <w:bookmarkEnd w:id="90"/>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组脑</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卒中后偏瘫患者运动功能</w:t>
      </w:r>
      <w:r>
        <w:rPr>
          <w:rFonts w:hint="eastAsia" w:ascii="Times New Roman" w:hAnsi="Times New Roman" w:cs="Times New Roman"/>
          <w:b w:val="0"/>
          <w:bCs w:val="0"/>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FMA</w:t>
      </w:r>
      <w:r>
        <w:rPr>
          <w:rFonts w:hint="eastAsia" w:ascii="Times New Roman" w:hAnsi="Times New Roman" w:eastAsia="宋体" w:cs="Times New Roman"/>
          <w:color w:val="auto"/>
          <w:kern w:val="2"/>
          <w:sz w:val="21"/>
          <w:szCs w:val="21"/>
          <w:highlight w:val="none"/>
          <w:shd w:val="clear" w:color="auto" w:fill="auto"/>
          <w:lang w:val="en-US" w:eastAsia="zh-CN" w:bidi="ar"/>
        </w:rPr>
        <w:t>-UA</w:t>
      </w:r>
      <w:r>
        <w:rPr>
          <w:rFonts w:hint="eastAsia" w:ascii="Times New Roman" w:hAnsi="Times New Roman" w:cs="Times New Roman"/>
          <w:color w:val="auto"/>
          <w:kern w:val="2"/>
          <w:sz w:val="21"/>
          <w:szCs w:val="21"/>
          <w:highlight w:val="none"/>
          <w:shd w:val="clear" w:color="auto" w:fill="auto"/>
          <w:lang w:val="en-US" w:eastAsia="zh-CN" w:bidi="ar"/>
        </w:rPr>
        <w:t>评分</w:t>
      </w:r>
      <w:r>
        <w:rPr>
          <w:rFonts w:hint="eastAsia" w:ascii="Times New Roman" w:hAnsi="Times New Roman" w:cs="Times New Roman"/>
          <w:b w:val="0"/>
          <w:bCs w:val="0"/>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和肌张力</w:t>
      </w:r>
      <w:r>
        <w:rPr>
          <w:rFonts w:hint="eastAsia" w:ascii="Times New Roman" w:hAnsi="Times New Roman" w:cs="Times New Roman"/>
          <w:b w:val="0"/>
          <w:bCs w:val="0"/>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MAS</w:t>
      </w:r>
      <w:r>
        <w:rPr>
          <w:rFonts w:hint="eastAsia" w:ascii="Times New Roman" w:hAnsi="Times New Roman" w:cs="Times New Roman"/>
          <w:color w:val="auto"/>
          <w:kern w:val="2"/>
          <w:sz w:val="21"/>
          <w:szCs w:val="21"/>
          <w:highlight w:val="none"/>
          <w:shd w:val="clear" w:color="auto" w:fill="auto"/>
          <w:lang w:val="en-US" w:eastAsia="zh-CN" w:bidi="ar"/>
        </w:rPr>
        <w:t>评分</w:t>
      </w:r>
      <w:r>
        <w:rPr>
          <w:rFonts w:hint="eastAsia" w:ascii="Times New Roman" w:hAnsi="Times New Roman" w:cs="Times New Roman"/>
          <w:b w:val="0"/>
          <w:bCs w:val="0"/>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比较（分</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auto"/>
          <w:position w:val="-6"/>
          <w:sz w:val="21"/>
          <w:szCs w:val="21"/>
          <w:highlight w:val="none"/>
          <w:shd w:val="clear" w:color="auto" w:fill="auto"/>
        </w:rPr>
        <w:object>
          <v:shape id="_x0000_i1029" style="height:13.2pt;width:26.4pt;" coordsize="21600,21600" filled="f" stroked="f" o:spt="75" o:ole="t" type="#_x0000_t75">
            <v:path/>
            <v:fill on="f" focussize="0,0"/>
            <v:stroke on="f"/>
            <v:imagedata embosscolor="#FFFFFF" o:title="" r:id="rId7"/>
            <o:lock v:ext="edit" aspectratio="t"/>
            <w10:wrap type="none"/>
            <w10:anchorlock/>
          </v:shape>
          <o:OLEObject Type="Embed" ProgID="Equation.3" ShapeID="_x0000_i1029" DrawAspect="Content" ObjectID="_1468075729" r:id="rId11">
            <o:LockedField>false</o:LockedField>
          </o:OLEObject>
        </w:objec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w:t>
      </w:r>
      <w:bookmarkEnd w:id="91"/>
      <w:bookmarkEnd w:id="92"/>
    </w:p>
    <w:tbl>
      <w:tblPr>
        <w:tblStyle w:val="12"/>
        <w:tblW w:w="4997"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1"/>
        <w:gridCol w:w="638"/>
        <w:gridCol w:w="1172"/>
        <w:gridCol w:w="1401"/>
        <w:gridCol w:w="794"/>
        <w:gridCol w:w="807"/>
        <w:gridCol w:w="222"/>
        <w:gridCol w:w="1067"/>
        <w:gridCol w:w="1361"/>
        <w:gridCol w:w="795"/>
        <w:gridCol w:w="808"/>
      </w:tblGrid>
      <w:tr w14:paraId="621E2A5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77" w:type="pct"/>
            <w:vMerge w:val="restart"/>
            <w:noWrap w:val="0"/>
            <w:vAlign w:val="center"/>
          </w:tcPr>
          <w:p w14:paraId="18FA70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组别</w:t>
            </w:r>
          </w:p>
        </w:tc>
        <w:tc>
          <w:tcPr>
            <w:tcW w:w="350" w:type="pct"/>
            <w:vMerge w:val="restart"/>
            <w:noWrap w:val="0"/>
            <w:vAlign w:val="center"/>
          </w:tcPr>
          <w:p w14:paraId="78F9EC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例数</w:t>
            </w:r>
          </w:p>
        </w:tc>
        <w:tc>
          <w:tcPr>
            <w:tcW w:w="2066" w:type="pct"/>
            <w:gridSpan w:val="4"/>
            <w:tcBorders>
              <w:bottom w:val="single" w:color="auto" w:sz="4" w:space="0"/>
            </w:tcBorders>
            <w:noWrap w:val="0"/>
            <w:vAlign w:val="center"/>
          </w:tcPr>
          <w:p w14:paraId="558AEF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FMA</w:t>
            </w:r>
            <w:r>
              <w:rPr>
                <w:rFonts w:hint="eastAsia" w:ascii="Times New Roman" w:hAnsi="Times New Roman" w:eastAsia="宋体" w:cs="Times New Roman"/>
                <w:color w:val="auto"/>
                <w:kern w:val="2"/>
                <w:sz w:val="21"/>
                <w:szCs w:val="21"/>
                <w:highlight w:val="none"/>
                <w:shd w:val="clear" w:color="auto" w:fill="auto"/>
                <w:lang w:val="en-US" w:eastAsia="zh-CN" w:bidi="ar"/>
              </w:rPr>
              <w:t>-UA</w:t>
            </w:r>
            <w:r>
              <w:rPr>
                <w:rFonts w:hint="eastAsia" w:ascii="Times New Roman" w:hAnsi="Times New Roman" w:cs="Times New Roman"/>
                <w:color w:val="auto"/>
                <w:kern w:val="2"/>
                <w:sz w:val="21"/>
                <w:szCs w:val="21"/>
                <w:highlight w:val="none"/>
                <w:shd w:val="clear" w:color="auto" w:fill="auto"/>
                <w:lang w:val="en-US" w:eastAsia="zh-CN" w:bidi="ar"/>
              </w:rPr>
              <w:t>评分</w:t>
            </w:r>
          </w:p>
        </w:tc>
        <w:tc>
          <w:tcPr>
            <w:tcW w:w="111" w:type="pct"/>
            <w:vMerge w:val="restart"/>
            <w:noWrap w:val="0"/>
            <w:vAlign w:val="center"/>
          </w:tcPr>
          <w:p w14:paraId="1E5CFC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1994" w:type="pct"/>
            <w:gridSpan w:val="4"/>
            <w:tcBorders>
              <w:bottom w:val="single" w:color="auto" w:sz="4" w:space="0"/>
            </w:tcBorders>
            <w:noWrap w:val="0"/>
            <w:vAlign w:val="center"/>
          </w:tcPr>
          <w:p w14:paraId="1F193C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MAS</w:t>
            </w:r>
            <w:r>
              <w:rPr>
                <w:rFonts w:hint="eastAsia" w:ascii="Times New Roman" w:hAnsi="Times New Roman" w:cs="Times New Roman"/>
                <w:color w:val="auto"/>
                <w:kern w:val="2"/>
                <w:sz w:val="21"/>
                <w:szCs w:val="21"/>
                <w:highlight w:val="none"/>
                <w:shd w:val="clear" w:color="auto" w:fill="auto"/>
                <w:lang w:val="en-US" w:eastAsia="zh-CN" w:bidi="ar"/>
              </w:rPr>
              <w:t>评分</w:t>
            </w:r>
          </w:p>
        </w:tc>
      </w:tr>
      <w:tr w14:paraId="25A0F7F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77" w:type="pct"/>
            <w:vMerge w:val="continue"/>
            <w:tcBorders>
              <w:bottom w:val="single" w:color="auto" w:sz="4" w:space="0"/>
            </w:tcBorders>
            <w:noWrap w:val="0"/>
            <w:vAlign w:val="center"/>
          </w:tcPr>
          <w:p w14:paraId="10C149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50" w:type="pct"/>
            <w:vMerge w:val="continue"/>
            <w:tcBorders>
              <w:bottom w:val="single" w:color="auto" w:sz="4" w:space="0"/>
            </w:tcBorders>
            <w:noWrap w:val="0"/>
            <w:vAlign w:val="center"/>
          </w:tcPr>
          <w:p w14:paraId="775995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88" w:type="pct"/>
            <w:tcBorders>
              <w:top w:val="single" w:color="auto" w:sz="4" w:space="0"/>
              <w:bottom w:val="single" w:color="auto" w:sz="4" w:space="0"/>
            </w:tcBorders>
            <w:noWrap w:val="0"/>
            <w:vAlign w:val="center"/>
          </w:tcPr>
          <w:p w14:paraId="6C61A2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干预前</w:t>
            </w:r>
          </w:p>
        </w:tc>
        <w:tc>
          <w:tcPr>
            <w:tcW w:w="733" w:type="pct"/>
            <w:tcBorders>
              <w:top w:val="single" w:color="auto" w:sz="4" w:space="0"/>
              <w:bottom w:val="single" w:color="auto" w:sz="4" w:space="0"/>
            </w:tcBorders>
            <w:noWrap w:val="0"/>
            <w:vAlign w:val="center"/>
          </w:tcPr>
          <w:p w14:paraId="733CFA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干预3周后</w:t>
            </w:r>
          </w:p>
        </w:tc>
        <w:tc>
          <w:tcPr>
            <w:tcW w:w="398" w:type="pct"/>
            <w:tcBorders>
              <w:top w:val="single" w:color="auto" w:sz="4" w:space="0"/>
              <w:bottom w:val="single" w:color="auto" w:sz="4" w:space="0"/>
            </w:tcBorders>
            <w:noWrap w:val="0"/>
            <w:vAlign w:val="center"/>
          </w:tcPr>
          <w:p w14:paraId="28580F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t</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345" w:type="pct"/>
            <w:tcBorders>
              <w:top w:val="single" w:color="auto" w:sz="4" w:space="0"/>
              <w:bottom w:val="single" w:color="auto" w:sz="4" w:space="0"/>
            </w:tcBorders>
            <w:noWrap w:val="0"/>
            <w:vAlign w:val="center"/>
          </w:tcPr>
          <w:p w14:paraId="41602B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P</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111" w:type="pct"/>
            <w:vMerge w:val="continue"/>
            <w:tcBorders>
              <w:bottom w:val="single" w:color="auto" w:sz="4" w:space="0"/>
            </w:tcBorders>
            <w:noWrap w:val="0"/>
            <w:vAlign w:val="center"/>
          </w:tcPr>
          <w:p w14:paraId="3A90A4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35" w:type="pct"/>
            <w:tcBorders>
              <w:top w:val="single" w:color="auto" w:sz="4" w:space="0"/>
              <w:bottom w:val="single" w:color="auto" w:sz="4" w:space="0"/>
            </w:tcBorders>
            <w:noWrap w:val="0"/>
            <w:vAlign w:val="center"/>
          </w:tcPr>
          <w:p w14:paraId="5A1DB6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干预前</w:t>
            </w:r>
          </w:p>
        </w:tc>
        <w:tc>
          <w:tcPr>
            <w:tcW w:w="713" w:type="pct"/>
            <w:tcBorders>
              <w:top w:val="single" w:color="auto" w:sz="4" w:space="0"/>
              <w:bottom w:val="single" w:color="auto" w:sz="4" w:space="0"/>
            </w:tcBorders>
            <w:noWrap w:val="0"/>
            <w:vAlign w:val="center"/>
          </w:tcPr>
          <w:p w14:paraId="30AC20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干预3周后</w:t>
            </w:r>
          </w:p>
        </w:tc>
        <w:tc>
          <w:tcPr>
            <w:tcW w:w="398" w:type="pct"/>
            <w:tcBorders>
              <w:top w:val="single" w:color="auto" w:sz="4" w:space="0"/>
              <w:bottom w:val="single" w:color="auto" w:sz="4" w:space="0"/>
            </w:tcBorders>
            <w:noWrap w:val="0"/>
            <w:vAlign w:val="center"/>
          </w:tcPr>
          <w:p w14:paraId="0B0957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t</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345" w:type="pct"/>
            <w:tcBorders>
              <w:top w:val="single" w:color="auto" w:sz="4" w:space="0"/>
              <w:bottom w:val="single" w:color="auto" w:sz="4" w:space="0"/>
            </w:tcBorders>
            <w:noWrap w:val="0"/>
            <w:vAlign w:val="center"/>
          </w:tcPr>
          <w:p w14:paraId="40D007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P</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r>
      <w:tr w14:paraId="3BAD8C7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77" w:type="pct"/>
            <w:tcBorders>
              <w:top w:val="single" w:color="auto" w:sz="4" w:space="0"/>
            </w:tcBorders>
            <w:noWrap w:val="0"/>
            <w:vAlign w:val="center"/>
          </w:tcPr>
          <w:p w14:paraId="5FD2A6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对照组</w:t>
            </w:r>
          </w:p>
        </w:tc>
        <w:tc>
          <w:tcPr>
            <w:tcW w:w="350" w:type="pct"/>
            <w:tcBorders>
              <w:top w:val="single" w:color="auto" w:sz="4" w:space="0"/>
            </w:tcBorders>
            <w:noWrap w:val="0"/>
            <w:vAlign w:val="center"/>
          </w:tcPr>
          <w:p w14:paraId="33FD87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48</w:t>
            </w:r>
          </w:p>
        </w:tc>
        <w:tc>
          <w:tcPr>
            <w:tcW w:w="588" w:type="pct"/>
            <w:tcBorders>
              <w:top w:val="single" w:color="auto" w:sz="4" w:space="0"/>
            </w:tcBorders>
            <w:noWrap w:val="0"/>
            <w:vAlign w:val="center"/>
          </w:tcPr>
          <w:p w14:paraId="02A044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36.14</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±5.52</w:t>
            </w:r>
          </w:p>
        </w:tc>
        <w:tc>
          <w:tcPr>
            <w:tcW w:w="733" w:type="pct"/>
            <w:tcBorders>
              <w:top w:val="single" w:color="auto" w:sz="4" w:space="0"/>
            </w:tcBorders>
            <w:noWrap w:val="0"/>
            <w:vAlign w:val="center"/>
          </w:tcPr>
          <w:p w14:paraId="07572C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43.66±5.89</w:t>
            </w:r>
          </w:p>
        </w:tc>
        <w:tc>
          <w:tcPr>
            <w:tcW w:w="398" w:type="pct"/>
            <w:tcBorders>
              <w:top w:val="single" w:color="auto" w:sz="4" w:space="0"/>
            </w:tcBorders>
            <w:noWrap w:val="0"/>
            <w:vAlign w:val="center"/>
          </w:tcPr>
          <w:p w14:paraId="756FEF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6.524</w:t>
            </w:r>
          </w:p>
        </w:tc>
        <w:tc>
          <w:tcPr>
            <w:tcW w:w="345" w:type="pct"/>
            <w:tcBorders>
              <w:top w:val="single" w:color="auto" w:sz="4" w:space="0"/>
            </w:tcBorders>
            <w:noWrap w:val="0"/>
            <w:vAlign w:val="center"/>
          </w:tcPr>
          <w:p w14:paraId="0D1B86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11" w:type="pct"/>
            <w:tcBorders>
              <w:top w:val="single" w:color="auto" w:sz="4" w:space="0"/>
            </w:tcBorders>
            <w:noWrap w:val="0"/>
            <w:vAlign w:val="center"/>
          </w:tcPr>
          <w:p w14:paraId="52717B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35" w:type="pct"/>
            <w:tcBorders>
              <w:top w:val="single" w:color="auto" w:sz="4" w:space="0"/>
            </w:tcBorders>
            <w:noWrap w:val="0"/>
            <w:vAlign w:val="center"/>
          </w:tcPr>
          <w:p w14:paraId="684D69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1.55±0.12</w:t>
            </w:r>
          </w:p>
        </w:tc>
        <w:tc>
          <w:tcPr>
            <w:tcW w:w="713" w:type="pct"/>
            <w:tcBorders>
              <w:top w:val="single" w:color="auto" w:sz="4" w:space="0"/>
            </w:tcBorders>
            <w:noWrap w:val="0"/>
            <w:vAlign w:val="center"/>
          </w:tcPr>
          <w:p w14:paraId="31E4BA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1.38±0.13</w:t>
            </w:r>
          </w:p>
        </w:tc>
        <w:tc>
          <w:tcPr>
            <w:tcW w:w="398" w:type="pct"/>
            <w:tcBorders>
              <w:top w:val="single" w:color="auto" w:sz="4" w:space="0"/>
            </w:tcBorders>
            <w:noWrap w:val="0"/>
            <w:vAlign w:val="center"/>
          </w:tcPr>
          <w:p w14:paraId="2A3D4D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6.730</w:t>
            </w:r>
          </w:p>
        </w:tc>
        <w:tc>
          <w:tcPr>
            <w:tcW w:w="345" w:type="pct"/>
            <w:tcBorders>
              <w:top w:val="single" w:color="auto" w:sz="4" w:space="0"/>
            </w:tcBorders>
            <w:noWrap w:val="0"/>
            <w:vAlign w:val="center"/>
          </w:tcPr>
          <w:p w14:paraId="5150E6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r w14:paraId="209944F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77" w:type="pct"/>
            <w:tcBorders>
              <w:bottom w:val="single" w:color="auto" w:sz="4" w:space="0"/>
            </w:tcBorders>
            <w:noWrap w:val="0"/>
            <w:vAlign w:val="center"/>
          </w:tcPr>
          <w:p w14:paraId="01E491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试验组</w:t>
            </w:r>
          </w:p>
        </w:tc>
        <w:tc>
          <w:tcPr>
            <w:tcW w:w="350" w:type="pct"/>
            <w:tcBorders>
              <w:bottom w:val="single" w:color="auto" w:sz="4" w:space="0"/>
            </w:tcBorders>
            <w:noWrap w:val="0"/>
            <w:vAlign w:val="center"/>
          </w:tcPr>
          <w:p w14:paraId="204031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48</w:t>
            </w:r>
          </w:p>
        </w:tc>
        <w:tc>
          <w:tcPr>
            <w:tcW w:w="588" w:type="pct"/>
            <w:tcBorders>
              <w:bottom w:val="single" w:color="auto" w:sz="4" w:space="0"/>
            </w:tcBorders>
            <w:noWrap w:val="0"/>
            <w:vAlign w:val="center"/>
          </w:tcPr>
          <w:p w14:paraId="4C4E3A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35.88</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±5.59</w:t>
            </w:r>
          </w:p>
        </w:tc>
        <w:tc>
          <w:tcPr>
            <w:tcW w:w="733" w:type="pct"/>
            <w:tcBorders>
              <w:bottom w:val="single" w:color="auto" w:sz="4" w:space="0"/>
            </w:tcBorders>
            <w:noWrap w:val="0"/>
            <w:vAlign w:val="center"/>
          </w:tcPr>
          <w:p w14:paraId="03AF84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51.47</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±6.01</w:t>
            </w:r>
          </w:p>
        </w:tc>
        <w:tc>
          <w:tcPr>
            <w:tcW w:w="398" w:type="pct"/>
            <w:tcBorders>
              <w:bottom w:val="single" w:color="auto" w:sz="4" w:space="0"/>
            </w:tcBorders>
            <w:noWrap w:val="0"/>
            <w:vAlign w:val="center"/>
          </w:tcPr>
          <w:p w14:paraId="45D98C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13.303</w:t>
            </w:r>
          </w:p>
        </w:tc>
        <w:tc>
          <w:tcPr>
            <w:tcW w:w="345" w:type="pct"/>
            <w:tcBorders>
              <w:bottom w:val="single" w:color="auto" w:sz="4" w:space="0"/>
            </w:tcBorders>
            <w:noWrap w:val="0"/>
            <w:vAlign w:val="center"/>
          </w:tcPr>
          <w:p w14:paraId="436812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11" w:type="pct"/>
            <w:tcBorders>
              <w:bottom w:val="single" w:color="auto" w:sz="4" w:space="0"/>
            </w:tcBorders>
            <w:noWrap w:val="0"/>
            <w:vAlign w:val="center"/>
          </w:tcPr>
          <w:p w14:paraId="353BC7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35" w:type="pct"/>
            <w:tcBorders>
              <w:bottom w:val="single" w:color="auto" w:sz="4" w:space="0"/>
            </w:tcBorders>
            <w:noWrap w:val="0"/>
            <w:vAlign w:val="center"/>
          </w:tcPr>
          <w:p w14:paraId="216480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1.53±0.13</w:t>
            </w:r>
          </w:p>
        </w:tc>
        <w:tc>
          <w:tcPr>
            <w:tcW w:w="713" w:type="pct"/>
            <w:tcBorders>
              <w:bottom w:val="single" w:color="auto" w:sz="4" w:space="0"/>
            </w:tcBorders>
            <w:noWrap w:val="0"/>
            <w:vAlign w:val="center"/>
          </w:tcPr>
          <w:p w14:paraId="6582CE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1.13±0.11</w:t>
            </w:r>
          </w:p>
        </w:tc>
        <w:tc>
          <w:tcPr>
            <w:tcW w:w="398" w:type="pct"/>
            <w:tcBorders>
              <w:bottom w:val="single" w:color="auto" w:sz="4" w:space="0"/>
            </w:tcBorders>
            <w:noWrap w:val="0"/>
            <w:vAlign w:val="center"/>
          </w:tcPr>
          <w:p w14:paraId="71FB2A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16.410</w:t>
            </w:r>
          </w:p>
        </w:tc>
        <w:tc>
          <w:tcPr>
            <w:tcW w:w="345" w:type="pct"/>
            <w:tcBorders>
              <w:bottom w:val="single" w:color="auto" w:sz="4" w:space="0"/>
            </w:tcBorders>
            <w:noWrap w:val="0"/>
            <w:vAlign w:val="center"/>
          </w:tcPr>
          <w:p w14:paraId="621DC8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r w14:paraId="5ECE4B2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77" w:type="pct"/>
            <w:tcBorders>
              <w:top w:val="single" w:color="auto" w:sz="4" w:space="0"/>
            </w:tcBorders>
            <w:noWrap w:val="0"/>
            <w:vAlign w:val="center"/>
          </w:tcPr>
          <w:p w14:paraId="1CE4DA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t</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350" w:type="pct"/>
            <w:tcBorders>
              <w:top w:val="single" w:color="auto" w:sz="4" w:space="0"/>
            </w:tcBorders>
            <w:noWrap w:val="0"/>
            <w:vAlign w:val="center"/>
          </w:tcPr>
          <w:p w14:paraId="7A4872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pPr>
          </w:p>
        </w:tc>
        <w:tc>
          <w:tcPr>
            <w:tcW w:w="588" w:type="pct"/>
            <w:tcBorders>
              <w:top w:val="single" w:color="auto" w:sz="4" w:space="0"/>
            </w:tcBorders>
            <w:noWrap w:val="0"/>
            <w:vAlign w:val="center"/>
          </w:tcPr>
          <w:p w14:paraId="46FC57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0.229</w:t>
            </w:r>
          </w:p>
        </w:tc>
        <w:tc>
          <w:tcPr>
            <w:tcW w:w="733" w:type="pct"/>
            <w:tcBorders>
              <w:top w:val="single" w:color="auto" w:sz="4" w:space="0"/>
            </w:tcBorders>
            <w:noWrap w:val="0"/>
            <w:vAlign w:val="center"/>
          </w:tcPr>
          <w:p w14:paraId="15960E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6.430</w:t>
            </w:r>
          </w:p>
        </w:tc>
        <w:tc>
          <w:tcPr>
            <w:tcW w:w="398" w:type="pct"/>
            <w:tcBorders>
              <w:top w:val="single" w:color="auto" w:sz="4" w:space="0"/>
            </w:tcBorders>
            <w:noWrap w:val="0"/>
            <w:vAlign w:val="center"/>
          </w:tcPr>
          <w:p w14:paraId="3067CB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45" w:type="pct"/>
            <w:tcBorders>
              <w:top w:val="single" w:color="auto" w:sz="4" w:space="0"/>
            </w:tcBorders>
            <w:noWrap w:val="0"/>
            <w:vAlign w:val="center"/>
          </w:tcPr>
          <w:p w14:paraId="6E16D3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111" w:type="pct"/>
            <w:tcBorders>
              <w:top w:val="single" w:color="auto" w:sz="4" w:space="0"/>
            </w:tcBorders>
            <w:noWrap w:val="0"/>
            <w:vAlign w:val="center"/>
          </w:tcPr>
          <w:p w14:paraId="23BE62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35" w:type="pct"/>
            <w:tcBorders>
              <w:top w:val="single" w:color="auto" w:sz="4" w:space="0"/>
            </w:tcBorders>
            <w:noWrap w:val="0"/>
            <w:vAlign w:val="center"/>
          </w:tcPr>
          <w:p w14:paraId="774976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0.783</w:t>
            </w:r>
          </w:p>
        </w:tc>
        <w:tc>
          <w:tcPr>
            <w:tcW w:w="713" w:type="pct"/>
            <w:tcBorders>
              <w:top w:val="single" w:color="auto" w:sz="4" w:space="0"/>
            </w:tcBorders>
            <w:noWrap w:val="0"/>
            <w:vAlign w:val="center"/>
          </w:tcPr>
          <w:p w14:paraId="26AF58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10.171</w:t>
            </w:r>
          </w:p>
        </w:tc>
        <w:tc>
          <w:tcPr>
            <w:tcW w:w="398" w:type="pct"/>
            <w:tcBorders>
              <w:top w:val="single" w:color="auto" w:sz="4" w:space="0"/>
            </w:tcBorders>
            <w:noWrap w:val="0"/>
            <w:vAlign w:val="center"/>
          </w:tcPr>
          <w:p w14:paraId="603279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45" w:type="pct"/>
            <w:tcBorders>
              <w:top w:val="single" w:color="auto" w:sz="4" w:space="0"/>
            </w:tcBorders>
            <w:noWrap w:val="0"/>
            <w:vAlign w:val="center"/>
          </w:tcPr>
          <w:p w14:paraId="68BF2D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r>
      <w:tr w14:paraId="5F023D3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77" w:type="pct"/>
            <w:noWrap w:val="0"/>
            <w:vAlign w:val="center"/>
          </w:tcPr>
          <w:p w14:paraId="11F61E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P</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350" w:type="pct"/>
            <w:noWrap w:val="0"/>
            <w:vAlign w:val="center"/>
          </w:tcPr>
          <w:p w14:paraId="2B295D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pPr>
          </w:p>
        </w:tc>
        <w:tc>
          <w:tcPr>
            <w:tcW w:w="588" w:type="pct"/>
            <w:noWrap w:val="0"/>
            <w:vAlign w:val="center"/>
          </w:tcPr>
          <w:p w14:paraId="2A548F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0.819</w:t>
            </w:r>
          </w:p>
        </w:tc>
        <w:tc>
          <w:tcPr>
            <w:tcW w:w="733" w:type="pct"/>
            <w:noWrap w:val="0"/>
            <w:vAlign w:val="center"/>
          </w:tcPr>
          <w:p w14:paraId="682B3E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398" w:type="pct"/>
            <w:noWrap w:val="0"/>
            <w:vAlign w:val="center"/>
          </w:tcPr>
          <w:p w14:paraId="4288DA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45" w:type="pct"/>
            <w:noWrap w:val="0"/>
            <w:vAlign w:val="center"/>
          </w:tcPr>
          <w:p w14:paraId="7E75F3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111" w:type="pct"/>
            <w:noWrap w:val="0"/>
            <w:vAlign w:val="center"/>
          </w:tcPr>
          <w:p w14:paraId="0018FF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535" w:type="pct"/>
            <w:noWrap w:val="0"/>
            <w:vAlign w:val="center"/>
          </w:tcPr>
          <w:p w14:paraId="08AEEA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0.435</w:t>
            </w:r>
          </w:p>
        </w:tc>
        <w:tc>
          <w:tcPr>
            <w:tcW w:w="713" w:type="pct"/>
            <w:noWrap w:val="0"/>
            <w:vAlign w:val="center"/>
          </w:tcPr>
          <w:p w14:paraId="20C4A6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398" w:type="pct"/>
            <w:noWrap w:val="0"/>
            <w:vAlign w:val="center"/>
          </w:tcPr>
          <w:p w14:paraId="7FEE04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345" w:type="pct"/>
            <w:noWrap w:val="0"/>
            <w:vAlign w:val="center"/>
          </w:tcPr>
          <w:p w14:paraId="4EDEC7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r>
    </w:tbl>
    <w:p w14:paraId="57C55D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 xml:space="preserve">    注：</w:t>
      </w:r>
      <w:r>
        <w:rPr>
          <w:rFonts w:hint="default" w:ascii="Times New Roman" w:hAnsi="Times New Roman" w:eastAsia="宋体" w:cs="Times New Roman"/>
          <w:color w:val="auto"/>
          <w:kern w:val="2"/>
          <w:sz w:val="21"/>
          <w:szCs w:val="21"/>
          <w:highlight w:val="none"/>
          <w:shd w:val="clear" w:color="auto" w:fill="auto"/>
          <w:lang w:val="en-US" w:eastAsia="zh-CN" w:bidi="ar"/>
        </w:rPr>
        <w:t>FMA</w:t>
      </w:r>
      <w:r>
        <w:rPr>
          <w:rFonts w:hint="eastAsia" w:ascii="Times New Roman" w:hAnsi="Times New Roman" w:eastAsia="宋体" w:cs="Times New Roman"/>
          <w:color w:val="auto"/>
          <w:kern w:val="2"/>
          <w:sz w:val="21"/>
          <w:szCs w:val="21"/>
          <w:highlight w:val="none"/>
          <w:shd w:val="clear" w:color="auto" w:fill="auto"/>
          <w:lang w:val="en-US" w:eastAsia="zh-CN" w:bidi="ar"/>
        </w:rPr>
        <w:t>-UA</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为Fugl-Meyer评估上肢部分；</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MAS</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为改良Ashworth量表</w:t>
      </w:r>
      <w:bookmarkEnd w:id="93"/>
    </w:p>
    <w:p w14:paraId="04242B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
        </w:rPr>
      </w:pPr>
      <w:r>
        <w:rPr>
          <w:rFonts w:hint="eastAsia" w:ascii="Times New Roman" w:hAnsi="Times New Roman" w:eastAsia="宋体" w:cs="Times New Roman"/>
          <w:color w:val="auto"/>
          <w:kern w:val="2"/>
          <w:sz w:val="21"/>
          <w:szCs w:val="21"/>
          <w:highlight w:val="none"/>
          <w:shd w:val="clear" w:color="auto" w:fill="auto"/>
          <w:lang w:val="en-US" w:eastAsia="zh-CN" w:bidi="ar"/>
        </w:rPr>
        <w:t>四、2组患者</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腕屈伸力量比较</w:t>
      </w:r>
      <w:bookmarkEnd w:id="94"/>
    </w:p>
    <w:p w14:paraId="4C659D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i w:val="0"/>
          <w:iCs w:val="0"/>
          <w:caps w:val="0"/>
          <w:color w:val="auto"/>
          <w:spacing w:val="0"/>
          <w:sz w:val="21"/>
          <w:szCs w:val="21"/>
          <w:highlight w:val="none"/>
          <w:shd w:val="clear" w:color="auto" w:fill="auto"/>
        </w:rPr>
        <w:t>干预前，2组脑卒中后偏瘫患者腕屈</w:t>
      </w:r>
      <w:r>
        <w:rPr>
          <w:rFonts w:hint="eastAsia" w:ascii="Times New Roman" w:hAnsi="Times New Roman" w:cs="Times New Roman"/>
          <w:i w:val="0"/>
          <w:iCs w:val="0"/>
          <w:caps w:val="0"/>
          <w:color w:val="auto"/>
          <w:spacing w:val="0"/>
          <w:sz w:val="21"/>
          <w:szCs w:val="21"/>
          <w:highlight w:val="none"/>
          <w:shd w:val="clear" w:color="auto" w:fill="auto"/>
          <w:lang w:val="en-US" w:eastAsia="zh-CN"/>
        </w:rPr>
        <w:t>/</w:t>
      </w:r>
      <w:r>
        <w:rPr>
          <w:rFonts w:hint="default" w:ascii="Times New Roman" w:hAnsi="Times New Roman" w:eastAsia="宋体" w:cs="Times New Roman"/>
          <w:i w:val="0"/>
          <w:iCs w:val="0"/>
          <w:caps w:val="0"/>
          <w:color w:val="auto"/>
          <w:spacing w:val="0"/>
          <w:sz w:val="21"/>
          <w:szCs w:val="21"/>
          <w:highlight w:val="none"/>
          <w:shd w:val="clear" w:color="auto" w:fill="auto"/>
        </w:rPr>
        <w:t>伸</w:t>
      </w:r>
      <w:r>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t>肌</w:t>
      </w:r>
      <w:r>
        <w:rPr>
          <w:rFonts w:hint="eastAsia" w:ascii="Times New Roman" w:hAnsi="Times New Roman" w:eastAsia="宋体" w:cs="Times New Roman"/>
          <w:i w:val="0"/>
          <w:iCs w:val="0"/>
          <w:caps w:val="0"/>
          <w:color w:val="auto"/>
          <w:spacing w:val="0"/>
          <w:sz w:val="21"/>
          <w:szCs w:val="21"/>
          <w:highlight w:val="none"/>
          <w:shd w:val="clear" w:color="auto" w:fill="auto"/>
          <w:lang w:val="en-US" w:eastAsia="zh-CN"/>
        </w:rPr>
        <w:t>的</w:t>
      </w:r>
      <w:r>
        <w:rPr>
          <w:rFonts w:hint="default" w:ascii="Times New Roman" w:hAnsi="Times New Roman" w:eastAsia="宋体" w:cs="Times New Roman"/>
          <w:i w:val="0"/>
          <w:iCs w:val="0"/>
          <w:caps w:val="0"/>
          <w:color w:val="auto"/>
          <w:spacing w:val="0"/>
          <w:sz w:val="21"/>
          <w:szCs w:val="21"/>
          <w:highlight w:val="none"/>
          <w:shd w:val="clear" w:color="auto" w:fill="auto"/>
        </w:rPr>
        <w:t>PT、TW、AP比较，差异均无统计学意义（</w:t>
      </w:r>
      <w:r>
        <w:rPr>
          <w:rFonts w:hint="default" w:ascii="Times New Roman" w:hAnsi="Times New Roman" w:eastAsia="宋体" w:cs="Times New Roman"/>
          <w:i/>
          <w:iCs/>
          <w:caps w:val="0"/>
          <w:color w:val="auto"/>
          <w:spacing w:val="0"/>
          <w:sz w:val="21"/>
          <w:szCs w:val="21"/>
          <w:highlight w:val="none"/>
          <w:shd w:val="clear" w:color="auto" w:fill="auto"/>
        </w:rPr>
        <w:t>P</w:t>
      </w:r>
      <w:r>
        <w:rPr>
          <w:rFonts w:hint="default" w:ascii="Times New Roman" w:hAnsi="Times New Roman" w:eastAsia="宋体" w:cs="Times New Roman"/>
          <w:i w:val="0"/>
          <w:iCs w:val="0"/>
          <w:caps w:val="0"/>
          <w:color w:val="auto"/>
          <w:spacing w:val="0"/>
          <w:sz w:val="21"/>
          <w:szCs w:val="21"/>
          <w:highlight w:val="none"/>
          <w:shd w:val="clear" w:color="auto" w:fill="auto"/>
        </w:rPr>
        <w:t>均＞0.05，表4）。</w:t>
      </w:r>
      <w:bookmarkEnd w:id="95"/>
      <w:r>
        <w:rPr>
          <w:rFonts w:hint="default" w:ascii="Times New Roman" w:hAnsi="Times New Roman" w:eastAsia="宋体" w:cs="Times New Roman"/>
          <w:i w:val="0"/>
          <w:iCs w:val="0"/>
          <w:caps w:val="0"/>
          <w:color w:val="auto"/>
          <w:spacing w:val="0"/>
          <w:sz w:val="21"/>
          <w:szCs w:val="21"/>
          <w:highlight w:val="none"/>
          <w:shd w:val="clear" w:color="auto" w:fill="auto"/>
        </w:rPr>
        <w:t>干预3周后，2组脑卒中后偏瘫患者腕屈</w:t>
      </w:r>
      <w:r>
        <w:rPr>
          <w:rFonts w:hint="eastAsia" w:ascii="Times New Roman" w:hAnsi="Times New Roman" w:cs="Times New Roman"/>
          <w:i w:val="0"/>
          <w:iCs w:val="0"/>
          <w:caps w:val="0"/>
          <w:color w:val="auto"/>
          <w:spacing w:val="0"/>
          <w:sz w:val="21"/>
          <w:szCs w:val="21"/>
          <w:highlight w:val="none"/>
          <w:shd w:val="clear" w:color="auto" w:fill="auto"/>
          <w:lang w:val="en-US" w:eastAsia="zh-CN"/>
        </w:rPr>
        <w:t>/</w:t>
      </w:r>
      <w:r>
        <w:rPr>
          <w:rFonts w:hint="default" w:ascii="Times New Roman" w:hAnsi="Times New Roman" w:eastAsia="宋体" w:cs="Times New Roman"/>
          <w:i w:val="0"/>
          <w:iCs w:val="0"/>
          <w:caps w:val="0"/>
          <w:color w:val="auto"/>
          <w:spacing w:val="0"/>
          <w:sz w:val="21"/>
          <w:szCs w:val="21"/>
          <w:highlight w:val="none"/>
          <w:shd w:val="clear" w:color="auto" w:fill="auto"/>
        </w:rPr>
        <w:t>伸</w:t>
      </w:r>
      <w:r>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t>肌</w:t>
      </w:r>
      <w:r>
        <w:rPr>
          <w:rFonts w:hint="eastAsia" w:ascii="Times New Roman" w:hAnsi="Times New Roman" w:eastAsia="宋体" w:cs="Times New Roman"/>
          <w:i w:val="0"/>
          <w:iCs w:val="0"/>
          <w:caps w:val="0"/>
          <w:color w:val="auto"/>
          <w:spacing w:val="0"/>
          <w:sz w:val="21"/>
          <w:szCs w:val="21"/>
          <w:highlight w:val="none"/>
          <w:shd w:val="clear" w:color="auto" w:fill="auto"/>
          <w:lang w:val="en-US" w:eastAsia="zh-CN"/>
        </w:rPr>
        <w:t>的</w:t>
      </w:r>
      <w:r>
        <w:rPr>
          <w:rFonts w:hint="default" w:ascii="Times New Roman" w:hAnsi="Times New Roman" w:eastAsia="宋体" w:cs="Times New Roman"/>
          <w:i w:val="0"/>
          <w:iCs w:val="0"/>
          <w:caps w:val="0"/>
          <w:color w:val="auto"/>
          <w:spacing w:val="0"/>
          <w:sz w:val="21"/>
          <w:szCs w:val="21"/>
          <w:highlight w:val="none"/>
          <w:shd w:val="clear" w:color="auto" w:fill="auto"/>
        </w:rPr>
        <w:t>PT、TW、AP均较干预前显著升高，差异均有统计学意义（</w:t>
      </w:r>
      <w:r>
        <w:rPr>
          <w:rFonts w:hint="default" w:ascii="Times New Roman" w:hAnsi="Times New Roman" w:eastAsia="宋体" w:cs="Times New Roman"/>
          <w:i/>
          <w:iCs/>
          <w:caps w:val="0"/>
          <w:color w:val="auto"/>
          <w:spacing w:val="0"/>
          <w:sz w:val="21"/>
          <w:szCs w:val="21"/>
          <w:highlight w:val="none"/>
          <w:shd w:val="clear" w:color="auto" w:fill="auto"/>
        </w:rPr>
        <w:t>P</w:t>
      </w:r>
      <w:r>
        <w:rPr>
          <w:rFonts w:hint="default" w:ascii="Times New Roman" w:hAnsi="Times New Roman" w:eastAsia="宋体" w:cs="Times New Roman"/>
          <w:i w:val="0"/>
          <w:iCs w:val="0"/>
          <w:caps w:val="0"/>
          <w:color w:val="auto"/>
          <w:spacing w:val="0"/>
          <w:sz w:val="21"/>
          <w:szCs w:val="21"/>
          <w:highlight w:val="none"/>
          <w:shd w:val="clear" w:color="auto" w:fill="auto"/>
        </w:rPr>
        <w:t>均</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&lt;</w:t>
      </w:r>
      <w:r>
        <w:rPr>
          <w:rFonts w:hint="default" w:ascii="Times New Roman" w:hAnsi="Times New Roman" w:eastAsia="宋体" w:cs="Times New Roman"/>
          <w:i w:val="0"/>
          <w:iCs w:val="0"/>
          <w:caps w:val="0"/>
          <w:color w:val="auto"/>
          <w:spacing w:val="0"/>
          <w:sz w:val="21"/>
          <w:szCs w:val="21"/>
          <w:highlight w:val="none"/>
          <w:shd w:val="clear" w:color="auto" w:fill="auto"/>
        </w:rPr>
        <w:t>0.05，表4）；</w:t>
      </w:r>
      <w:bookmarkEnd w:id="96"/>
      <w:r>
        <w:rPr>
          <w:rFonts w:hint="default" w:ascii="Times New Roman" w:hAnsi="Times New Roman" w:eastAsia="宋体" w:cs="Times New Roman"/>
          <w:i w:val="0"/>
          <w:iCs w:val="0"/>
          <w:caps w:val="0"/>
          <w:color w:val="auto"/>
          <w:spacing w:val="0"/>
          <w:sz w:val="21"/>
          <w:szCs w:val="21"/>
          <w:highlight w:val="none"/>
          <w:shd w:val="clear" w:color="auto" w:fill="auto"/>
        </w:rPr>
        <w:t>试验组患者干预3周后腕屈</w:t>
      </w:r>
      <w:r>
        <w:rPr>
          <w:rFonts w:hint="eastAsia" w:ascii="Times New Roman" w:hAnsi="Times New Roman" w:cs="Times New Roman"/>
          <w:i w:val="0"/>
          <w:iCs w:val="0"/>
          <w:caps w:val="0"/>
          <w:color w:val="auto"/>
          <w:spacing w:val="0"/>
          <w:sz w:val="21"/>
          <w:szCs w:val="21"/>
          <w:highlight w:val="none"/>
          <w:shd w:val="clear" w:color="auto" w:fill="auto"/>
          <w:lang w:val="en-US" w:eastAsia="zh-CN"/>
        </w:rPr>
        <w:t>/</w:t>
      </w:r>
      <w:r>
        <w:rPr>
          <w:rFonts w:hint="default" w:ascii="Times New Roman" w:hAnsi="Times New Roman" w:eastAsia="宋体" w:cs="Times New Roman"/>
          <w:i w:val="0"/>
          <w:iCs w:val="0"/>
          <w:caps w:val="0"/>
          <w:color w:val="auto"/>
          <w:spacing w:val="0"/>
          <w:sz w:val="21"/>
          <w:szCs w:val="21"/>
          <w:highlight w:val="none"/>
          <w:shd w:val="clear" w:color="auto" w:fill="auto"/>
        </w:rPr>
        <w:t>伸</w:t>
      </w:r>
      <w:r>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t>肌</w:t>
      </w:r>
      <w:r>
        <w:rPr>
          <w:rFonts w:hint="eastAsia" w:ascii="Times New Roman" w:hAnsi="Times New Roman" w:eastAsia="宋体" w:cs="Times New Roman"/>
          <w:i w:val="0"/>
          <w:iCs w:val="0"/>
          <w:caps w:val="0"/>
          <w:color w:val="auto"/>
          <w:spacing w:val="0"/>
          <w:sz w:val="21"/>
          <w:szCs w:val="21"/>
          <w:highlight w:val="none"/>
          <w:shd w:val="clear" w:color="auto" w:fill="auto"/>
          <w:lang w:val="en-US" w:eastAsia="zh-CN"/>
        </w:rPr>
        <w:t>的</w:t>
      </w:r>
      <w:r>
        <w:rPr>
          <w:rFonts w:hint="default" w:ascii="Times New Roman" w:hAnsi="Times New Roman" w:eastAsia="宋体" w:cs="Times New Roman"/>
          <w:i w:val="0"/>
          <w:iCs w:val="0"/>
          <w:caps w:val="0"/>
          <w:color w:val="auto"/>
          <w:spacing w:val="0"/>
          <w:sz w:val="21"/>
          <w:szCs w:val="21"/>
          <w:highlight w:val="none"/>
          <w:shd w:val="clear" w:color="auto" w:fill="auto"/>
        </w:rPr>
        <w:t>PT、TW、AP均显著高于对照组</w:t>
      </w:r>
      <w:r>
        <w:rPr>
          <w:rFonts w:hint="eastAsia" w:ascii="Times New Roman" w:hAnsi="Times New Roman" w:cs="Times New Roman"/>
          <w:i w:val="0"/>
          <w:iCs w:val="0"/>
          <w:caps w:val="0"/>
          <w:color w:val="auto"/>
          <w:spacing w:val="0"/>
          <w:sz w:val="21"/>
          <w:szCs w:val="21"/>
          <w:highlight w:val="none"/>
          <w:shd w:val="clear" w:color="auto" w:fill="auto"/>
          <w:lang w:val="en-US" w:eastAsia="zh-CN"/>
        </w:rPr>
        <w:t>患者</w:t>
      </w:r>
      <w:r>
        <w:rPr>
          <w:rFonts w:hint="default" w:ascii="Times New Roman" w:hAnsi="Times New Roman" w:eastAsia="宋体" w:cs="Times New Roman"/>
          <w:i w:val="0"/>
          <w:iCs w:val="0"/>
          <w:caps w:val="0"/>
          <w:color w:val="auto"/>
          <w:spacing w:val="0"/>
          <w:sz w:val="21"/>
          <w:szCs w:val="21"/>
          <w:highlight w:val="none"/>
          <w:shd w:val="clear" w:color="auto" w:fill="auto"/>
        </w:rPr>
        <w:t>，差异均有统计学意义（</w:t>
      </w:r>
      <w:r>
        <w:rPr>
          <w:rFonts w:hint="default" w:ascii="Times New Roman" w:hAnsi="Times New Roman" w:eastAsia="宋体" w:cs="Times New Roman"/>
          <w:i/>
          <w:iCs/>
          <w:caps w:val="0"/>
          <w:color w:val="auto"/>
          <w:spacing w:val="0"/>
          <w:sz w:val="21"/>
          <w:szCs w:val="21"/>
          <w:highlight w:val="none"/>
          <w:shd w:val="clear" w:color="auto" w:fill="auto"/>
        </w:rPr>
        <w:t>P</w:t>
      </w:r>
      <w:r>
        <w:rPr>
          <w:rFonts w:hint="default" w:ascii="Times New Roman" w:hAnsi="Times New Roman" w:eastAsia="宋体" w:cs="Times New Roman"/>
          <w:i w:val="0"/>
          <w:iCs w:val="0"/>
          <w:caps w:val="0"/>
          <w:color w:val="auto"/>
          <w:spacing w:val="0"/>
          <w:sz w:val="21"/>
          <w:szCs w:val="21"/>
          <w:highlight w:val="none"/>
          <w:shd w:val="clear" w:color="auto" w:fill="auto"/>
        </w:rPr>
        <w:t>均</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&lt;</w:t>
      </w:r>
      <w:r>
        <w:rPr>
          <w:rFonts w:hint="default" w:ascii="Times New Roman" w:hAnsi="Times New Roman" w:eastAsia="宋体" w:cs="Times New Roman"/>
          <w:i w:val="0"/>
          <w:iCs w:val="0"/>
          <w:caps w:val="0"/>
          <w:color w:val="auto"/>
          <w:spacing w:val="0"/>
          <w:sz w:val="21"/>
          <w:szCs w:val="21"/>
          <w:highlight w:val="none"/>
          <w:shd w:val="clear" w:color="auto" w:fill="auto"/>
        </w:rPr>
        <w:t>0.05，表4）</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p>
    <w:p w14:paraId="2BD7F7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
        </w:rPr>
      </w:pPr>
    </w:p>
    <w:p w14:paraId="762F6E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
        </w:rPr>
      </w:pPr>
      <w:r>
        <w:rPr>
          <w:rFonts w:hint="default" w:ascii="Times New Roman" w:hAnsi="Times New Roman" w:eastAsia="宋体" w:cs="Times New Roman"/>
          <w:b/>
          <w:bCs/>
          <w:color w:val="auto"/>
          <w:kern w:val="2"/>
          <w:sz w:val="21"/>
          <w:szCs w:val="21"/>
          <w:highlight w:val="none"/>
          <w:shd w:val="clear" w:color="auto" w:fill="auto"/>
          <w:lang w:val="en-US" w:eastAsia="zh-CN" w:bidi="ar"/>
        </w:rPr>
        <w:t>表</w:t>
      </w:r>
      <w:r>
        <w:rPr>
          <w:rFonts w:hint="eastAsia" w:ascii="Times New Roman" w:hAnsi="Times New Roman" w:eastAsia="宋体" w:cs="Times New Roman"/>
          <w:b/>
          <w:bCs/>
          <w:color w:val="auto"/>
          <w:kern w:val="2"/>
          <w:sz w:val="21"/>
          <w:szCs w:val="21"/>
          <w:highlight w:val="none"/>
          <w:shd w:val="clear" w:color="auto" w:fill="auto"/>
          <w:lang w:val="en-US" w:eastAsia="zh-CN" w:bidi="ar"/>
        </w:rPr>
        <w:t>4</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 xml:space="preserve"> </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 xml:space="preserve"> 2</w:t>
      </w:r>
      <w:bookmarkEnd w:id="97"/>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组脑</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卒中后偏瘫患者腕屈伸力量比较（</w:t>
      </w:r>
      <w:r>
        <w:rPr>
          <w:rFonts w:hint="default" w:ascii="Times New Roman" w:hAnsi="Times New Roman" w:eastAsia="宋体" w:cs="Times New Roman"/>
          <w:b w:val="0"/>
          <w:bCs w:val="0"/>
          <w:color w:val="auto"/>
          <w:position w:val="-6"/>
          <w:sz w:val="21"/>
          <w:szCs w:val="21"/>
          <w:highlight w:val="none"/>
          <w:shd w:val="clear" w:color="auto" w:fill="auto"/>
        </w:rPr>
        <w:object>
          <v:shape id="_x0000_i1030" style="height:13.2pt;width:26.4pt;" coordsize="21600,21600" filled="f" stroked="f" o:spt="75" o:ole="t" type="#_x0000_t75">
            <v:path/>
            <v:fill on="f" focussize="0,0"/>
            <v:stroke on="f"/>
            <v:imagedata embosscolor="#FFFFFF" o:title="" r:id="rId7"/>
            <o:lock v:ext="edit" aspectratio="t"/>
            <w10:wrap type="none"/>
            <w10:anchorlock/>
          </v:shape>
          <o:OLEObject Type="Embed" ProgID="Equation.3" ShapeID="_x0000_i1030" DrawAspect="Content" ObjectID="_1468075730" r:id="rId12">
            <o:LockedField>false</o:LockedField>
          </o:OLEObject>
        </w:objec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w:t>
      </w:r>
      <w:bookmarkEnd w:id="98"/>
      <w:bookmarkEnd w:id="99"/>
    </w:p>
    <w:tbl>
      <w:tblPr>
        <w:tblStyle w:val="12"/>
        <w:tblW w:w="4995"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81"/>
        <w:gridCol w:w="1277"/>
        <w:gridCol w:w="1382"/>
        <w:gridCol w:w="794"/>
        <w:gridCol w:w="807"/>
        <w:gridCol w:w="222"/>
        <w:gridCol w:w="1337"/>
        <w:gridCol w:w="1450"/>
        <w:gridCol w:w="794"/>
        <w:gridCol w:w="808"/>
      </w:tblGrid>
      <w:tr w14:paraId="7CF1EF0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c>
          <w:tcPr>
            <w:tcW w:w="727" w:type="pct"/>
            <w:vMerge w:val="restart"/>
            <w:noWrap w:val="0"/>
            <w:vAlign w:val="center"/>
          </w:tcPr>
          <w:p w14:paraId="61C3E2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指标</w:t>
            </w:r>
          </w:p>
        </w:tc>
        <w:tc>
          <w:tcPr>
            <w:tcW w:w="2080" w:type="pct"/>
            <w:gridSpan w:val="4"/>
            <w:tcBorders>
              <w:bottom w:val="single" w:color="auto" w:sz="4" w:space="0"/>
            </w:tcBorders>
            <w:noWrap w:val="0"/>
            <w:vAlign w:val="center"/>
          </w:tcPr>
          <w:p w14:paraId="208615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对照组（</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n</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=48</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w:t>
            </w:r>
          </w:p>
        </w:tc>
        <w:tc>
          <w:tcPr>
            <w:tcW w:w="111" w:type="pct"/>
            <w:vMerge w:val="restart"/>
            <w:noWrap w:val="0"/>
            <w:vAlign w:val="center"/>
          </w:tcPr>
          <w:p w14:paraId="51033B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2080" w:type="pct"/>
            <w:gridSpan w:val="4"/>
            <w:tcBorders>
              <w:bottom w:val="single" w:color="auto" w:sz="4" w:space="0"/>
            </w:tcBorders>
            <w:noWrap w:val="0"/>
            <w:vAlign w:val="center"/>
          </w:tcPr>
          <w:p w14:paraId="162D13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试验组（</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n</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=48</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w:t>
            </w:r>
          </w:p>
        </w:tc>
      </w:tr>
      <w:tr w14:paraId="60DE915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27" w:type="pct"/>
            <w:vMerge w:val="continue"/>
            <w:tcBorders>
              <w:bottom w:val="single" w:color="auto" w:sz="4" w:space="0"/>
            </w:tcBorders>
            <w:noWrap w:val="0"/>
            <w:vAlign w:val="center"/>
          </w:tcPr>
          <w:p w14:paraId="0FF59E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641" w:type="pct"/>
            <w:tcBorders>
              <w:top w:val="single" w:color="auto" w:sz="4" w:space="0"/>
              <w:bottom w:val="single" w:color="auto" w:sz="4" w:space="0"/>
            </w:tcBorders>
            <w:noWrap w:val="0"/>
            <w:vAlign w:val="center"/>
          </w:tcPr>
          <w:p w14:paraId="44F6DD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干预前</w:t>
            </w:r>
          </w:p>
        </w:tc>
        <w:tc>
          <w:tcPr>
            <w:tcW w:w="694" w:type="pct"/>
            <w:tcBorders>
              <w:top w:val="single" w:color="auto" w:sz="4" w:space="0"/>
              <w:bottom w:val="single" w:color="auto" w:sz="4" w:space="0"/>
            </w:tcBorders>
            <w:noWrap w:val="0"/>
            <w:vAlign w:val="center"/>
          </w:tcPr>
          <w:p w14:paraId="4D6310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干预3周后</w:t>
            </w:r>
          </w:p>
        </w:tc>
        <w:tc>
          <w:tcPr>
            <w:tcW w:w="398" w:type="pct"/>
            <w:tcBorders>
              <w:top w:val="single" w:color="auto" w:sz="4" w:space="0"/>
              <w:bottom w:val="single" w:color="auto" w:sz="4" w:space="0"/>
            </w:tcBorders>
            <w:noWrap w:val="0"/>
            <w:vAlign w:val="center"/>
          </w:tcPr>
          <w:p w14:paraId="48A46F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t</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346" w:type="pct"/>
            <w:tcBorders>
              <w:top w:val="single" w:color="auto" w:sz="4" w:space="0"/>
              <w:bottom w:val="single" w:color="auto" w:sz="4" w:space="0"/>
            </w:tcBorders>
            <w:noWrap w:val="0"/>
            <w:vAlign w:val="center"/>
          </w:tcPr>
          <w:p w14:paraId="036522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P</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111" w:type="pct"/>
            <w:vMerge w:val="continue"/>
            <w:tcBorders>
              <w:bottom w:val="single" w:color="auto" w:sz="4" w:space="0"/>
            </w:tcBorders>
            <w:noWrap w:val="0"/>
            <w:vAlign w:val="center"/>
          </w:tcPr>
          <w:p w14:paraId="4829E1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641" w:type="pct"/>
            <w:tcBorders>
              <w:top w:val="single" w:color="auto" w:sz="4" w:space="0"/>
              <w:bottom w:val="single" w:color="auto" w:sz="4" w:space="0"/>
            </w:tcBorders>
            <w:noWrap w:val="0"/>
            <w:vAlign w:val="center"/>
          </w:tcPr>
          <w:p w14:paraId="7DF6B5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干预前</w:t>
            </w:r>
          </w:p>
        </w:tc>
        <w:tc>
          <w:tcPr>
            <w:tcW w:w="694" w:type="pct"/>
            <w:tcBorders>
              <w:top w:val="single" w:color="auto" w:sz="4" w:space="0"/>
              <w:bottom w:val="single" w:color="auto" w:sz="4" w:space="0"/>
            </w:tcBorders>
            <w:noWrap w:val="0"/>
            <w:vAlign w:val="center"/>
          </w:tcPr>
          <w:p w14:paraId="1F784E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干预3周后</w:t>
            </w:r>
          </w:p>
        </w:tc>
        <w:tc>
          <w:tcPr>
            <w:tcW w:w="398" w:type="pct"/>
            <w:tcBorders>
              <w:top w:val="single" w:color="auto" w:sz="4" w:space="0"/>
              <w:bottom w:val="single" w:color="auto" w:sz="4" w:space="0"/>
            </w:tcBorders>
            <w:noWrap w:val="0"/>
            <w:vAlign w:val="center"/>
          </w:tcPr>
          <w:p w14:paraId="7478AE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t</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346" w:type="pct"/>
            <w:tcBorders>
              <w:top w:val="single" w:color="auto" w:sz="4" w:space="0"/>
              <w:bottom w:val="single" w:color="auto" w:sz="4" w:space="0"/>
            </w:tcBorders>
            <w:noWrap w:val="0"/>
            <w:vAlign w:val="center"/>
          </w:tcPr>
          <w:p w14:paraId="4B00BB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P</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r>
      <w:tr w14:paraId="27AFE68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27" w:type="pct"/>
            <w:tcBorders>
              <w:top w:val="single" w:color="auto" w:sz="4" w:space="0"/>
            </w:tcBorders>
            <w:noWrap w:val="0"/>
            <w:vAlign w:val="center"/>
          </w:tcPr>
          <w:p w14:paraId="309418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t>屈肌PT</w:t>
            </w:r>
            <w:r>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t>（</w:t>
            </w:r>
            <w:bookmarkEnd w:id="100"/>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N·m</w:t>
            </w:r>
            <w:r>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t>）</w:t>
            </w:r>
          </w:p>
        </w:tc>
        <w:tc>
          <w:tcPr>
            <w:tcW w:w="641" w:type="pct"/>
            <w:tcBorders>
              <w:top w:val="single" w:color="auto" w:sz="4" w:space="0"/>
            </w:tcBorders>
            <w:noWrap w:val="0"/>
            <w:vAlign w:val="center"/>
          </w:tcPr>
          <w:p w14:paraId="2E8D28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10.25</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±7.57</w:t>
            </w:r>
          </w:p>
        </w:tc>
        <w:tc>
          <w:tcPr>
            <w:tcW w:w="694" w:type="pct"/>
            <w:tcBorders>
              <w:top w:val="single" w:color="auto" w:sz="4" w:space="0"/>
            </w:tcBorders>
            <w:noWrap w:val="0"/>
            <w:vAlign w:val="center"/>
          </w:tcPr>
          <w:p w14:paraId="4B0CED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17.46±7.11</w:t>
            </w:r>
          </w:p>
        </w:tc>
        <w:tc>
          <w:tcPr>
            <w:tcW w:w="398" w:type="pct"/>
            <w:tcBorders>
              <w:top w:val="single" w:color="auto" w:sz="4" w:space="0"/>
            </w:tcBorders>
            <w:noWrap w:val="0"/>
            <w:vAlign w:val="center"/>
          </w:tcPr>
          <w:p w14:paraId="016C73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4.876</w:t>
            </w:r>
          </w:p>
        </w:tc>
        <w:tc>
          <w:tcPr>
            <w:tcW w:w="346" w:type="pct"/>
            <w:tcBorders>
              <w:top w:val="single" w:color="auto" w:sz="4" w:space="0"/>
            </w:tcBorders>
            <w:noWrap w:val="0"/>
            <w:vAlign w:val="center"/>
          </w:tcPr>
          <w:p w14:paraId="29CD38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11" w:type="pct"/>
            <w:tcBorders>
              <w:top w:val="single" w:color="auto" w:sz="4" w:space="0"/>
            </w:tcBorders>
            <w:noWrap w:val="0"/>
            <w:vAlign w:val="center"/>
          </w:tcPr>
          <w:p w14:paraId="5AF864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p>
        </w:tc>
        <w:tc>
          <w:tcPr>
            <w:tcW w:w="641" w:type="pct"/>
            <w:tcBorders>
              <w:top w:val="single" w:color="auto" w:sz="4" w:space="0"/>
            </w:tcBorders>
            <w:noWrap w:val="0"/>
            <w:vAlign w:val="center"/>
          </w:tcPr>
          <w:p w14:paraId="39B8B5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10.18</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±8.21</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a</w:t>
            </w:r>
          </w:p>
        </w:tc>
        <w:tc>
          <w:tcPr>
            <w:tcW w:w="694" w:type="pct"/>
            <w:tcBorders>
              <w:top w:val="single" w:color="auto" w:sz="4" w:space="0"/>
            </w:tcBorders>
            <w:noWrap w:val="0"/>
            <w:vAlign w:val="center"/>
          </w:tcPr>
          <w:p w14:paraId="630B5F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23.19</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±6.53</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b</w:t>
            </w:r>
          </w:p>
        </w:tc>
        <w:tc>
          <w:tcPr>
            <w:tcW w:w="398" w:type="pct"/>
            <w:tcBorders>
              <w:top w:val="single" w:color="auto" w:sz="4" w:space="0"/>
            </w:tcBorders>
            <w:noWrap w:val="0"/>
            <w:vAlign w:val="center"/>
          </w:tcPr>
          <w:p w14:paraId="0CC6C5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8.659</w:t>
            </w:r>
          </w:p>
        </w:tc>
        <w:tc>
          <w:tcPr>
            <w:tcW w:w="346" w:type="pct"/>
            <w:tcBorders>
              <w:top w:val="single" w:color="auto" w:sz="4" w:space="0"/>
            </w:tcBorders>
            <w:noWrap w:val="0"/>
            <w:vAlign w:val="center"/>
          </w:tcPr>
          <w:p w14:paraId="085DE1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r w14:paraId="2B42916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27" w:type="pct"/>
            <w:noWrap w:val="0"/>
            <w:vAlign w:val="center"/>
          </w:tcPr>
          <w:p w14:paraId="3286F3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b w:val="0"/>
                <w:bCs w:val="0"/>
                <w:color w:val="auto"/>
                <w:sz w:val="21"/>
                <w:szCs w:val="21"/>
                <w:highlight w:val="none"/>
                <w:shd w:val="clear" w:color="auto" w:fill="auto"/>
                <w:lang w:val="en-US" w:eastAsia="zh-CN" w:bidi="ar"/>
              </w:rPr>
              <w:t>伸肌PT</w:t>
            </w:r>
            <w:r>
              <w:rPr>
                <w:rFonts w:hint="default" w:ascii="Times New Roman" w:hAnsi="Times New Roman" w:eastAsia="宋体" w:cs="Times New Roman"/>
                <w:b w:val="0"/>
                <w:bCs w:val="0"/>
                <w:color w:val="auto"/>
                <w:sz w:val="21"/>
                <w:szCs w:val="21"/>
                <w:highlight w:val="none"/>
                <w:shd w:val="clear" w:color="auto" w:fill="auto"/>
                <w:lang w:val="en-US" w:eastAsia="zh-CN" w:bidi="ar"/>
              </w:rPr>
              <w:t>（</w:t>
            </w:r>
            <w:bookmarkEnd w:id="101"/>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N·m</w:t>
            </w:r>
            <w:r>
              <w:rPr>
                <w:rFonts w:hint="default" w:ascii="Times New Roman" w:hAnsi="Times New Roman" w:eastAsia="宋体" w:cs="Times New Roman"/>
                <w:b w:val="0"/>
                <w:bCs w:val="0"/>
                <w:color w:val="auto"/>
                <w:sz w:val="21"/>
                <w:szCs w:val="21"/>
                <w:highlight w:val="none"/>
                <w:shd w:val="clear" w:color="auto" w:fill="auto"/>
                <w:lang w:val="en-US" w:eastAsia="zh-CN" w:bidi="ar"/>
              </w:rPr>
              <w:t>）</w:t>
            </w:r>
          </w:p>
        </w:tc>
        <w:tc>
          <w:tcPr>
            <w:tcW w:w="641" w:type="pct"/>
            <w:noWrap w:val="0"/>
            <w:vAlign w:val="center"/>
          </w:tcPr>
          <w:p w14:paraId="0A63BF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8.45±6.36</w:t>
            </w:r>
          </w:p>
        </w:tc>
        <w:tc>
          <w:tcPr>
            <w:tcW w:w="694" w:type="pct"/>
            <w:noWrap w:val="0"/>
            <w:vAlign w:val="center"/>
          </w:tcPr>
          <w:p w14:paraId="36D468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16.34±7.05</w:t>
            </w:r>
          </w:p>
        </w:tc>
        <w:tc>
          <w:tcPr>
            <w:tcW w:w="398" w:type="pct"/>
            <w:noWrap w:val="0"/>
            <w:vAlign w:val="center"/>
          </w:tcPr>
          <w:p w14:paraId="4D9632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5.821</w:t>
            </w:r>
          </w:p>
        </w:tc>
        <w:tc>
          <w:tcPr>
            <w:tcW w:w="346" w:type="pct"/>
            <w:noWrap w:val="0"/>
            <w:vAlign w:val="center"/>
          </w:tcPr>
          <w:p w14:paraId="7D9FC0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11" w:type="pct"/>
            <w:noWrap w:val="0"/>
            <w:vAlign w:val="center"/>
          </w:tcPr>
          <w:p w14:paraId="19BD68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641" w:type="pct"/>
            <w:noWrap w:val="0"/>
            <w:vAlign w:val="center"/>
          </w:tcPr>
          <w:p w14:paraId="088888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8.39±6.27</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a</w:t>
            </w:r>
          </w:p>
        </w:tc>
        <w:tc>
          <w:tcPr>
            <w:tcW w:w="694" w:type="pct"/>
            <w:noWrap w:val="0"/>
            <w:vAlign w:val="center"/>
          </w:tcPr>
          <w:p w14:paraId="214CDF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21.81±8.28</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b</w:t>
            </w:r>
          </w:p>
        </w:tc>
        <w:tc>
          <w:tcPr>
            <w:tcW w:w="398" w:type="pct"/>
            <w:noWrap w:val="0"/>
            <w:vAlign w:val="center"/>
          </w:tcPr>
          <w:p w14:paraId="7449F7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9.068</w:t>
            </w:r>
          </w:p>
        </w:tc>
        <w:tc>
          <w:tcPr>
            <w:tcW w:w="346" w:type="pct"/>
            <w:noWrap w:val="0"/>
            <w:vAlign w:val="center"/>
          </w:tcPr>
          <w:p w14:paraId="46E7C3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r w14:paraId="323E227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27" w:type="pct"/>
            <w:noWrap w:val="0"/>
            <w:vAlign w:val="center"/>
          </w:tcPr>
          <w:p w14:paraId="7EA258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屈肌TW</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w:t>
            </w:r>
            <w:bookmarkEnd w:id="102"/>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J）</w:t>
            </w:r>
          </w:p>
        </w:tc>
        <w:tc>
          <w:tcPr>
            <w:tcW w:w="641" w:type="pct"/>
            <w:noWrap w:val="0"/>
            <w:vAlign w:val="center"/>
          </w:tcPr>
          <w:p w14:paraId="2AF55E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88.01±13.68</w:t>
            </w:r>
          </w:p>
        </w:tc>
        <w:tc>
          <w:tcPr>
            <w:tcW w:w="694" w:type="pct"/>
            <w:noWrap w:val="0"/>
            <w:vAlign w:val="center"/>
          </w:tcPr>
          <w:p w14:paraId="598F1F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185.48±36.85</w:t>
            </w:r>
          </w:p>
        </w:tc>
        <w:tc>
          <w:tcPr>
            <w:tcW w:w="398" w:type="pct"/>
            <w:noWrap w:val="0"/>
            <w:vAlign w:val="center"/>
          </w:tcPr>
          <w:p w14:paraId="296ACA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17.492</w:t>
            </w:r>
          </w:p>
        </w:tc>
        <w:tc>
          <w:tcPr>
            <w:tcW w:w="346" w:type="pct"/>
            <w:noWrap w:val="0"/>
            <w:vAlign w:val="center"/>
          </w:tcPr>
          <w:p w14:paraId="784D30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11" w:type="pct"/>
            <w:noWrap w:val="0"/>
            <w:vAlign w:val="center"/>
          </w:tcPr>
          <w:p w14:paraId="3D8F95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641" w:type="pct"/>
            <w:noWrap w:val="0"/>
            <w:vAlign w:val="center"/>
          </w:tcPr>
          <w:p w14:paraId="63343F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87.83±14.38</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a</w:t>
            </w:r>
          </w:p>
        </w:tc>
        <w:tc>
          <w:tcPr>
            <w:tcW w:w="694" w:type="pct"/>
            <w:noWrap w:val="0"/>
            <w:vAlign w:val="center"/>
          </w:tcPr>
          <w:p w14:paraId="44DF58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207.52±35.23</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b</w:t>
            </w:r>
          </w:p>
        </w:tc>
        <w:tc>
          <w:tcPr>
            <w:tcW w:w="398" w:type="pct"/>
            <w:noWrap w:val="0"/>
            <w:vAlign w:val="center"/>
          </w:tcPr>
          <w:p w14:paraId="31D773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22.179</w:t>
            </w:r>
          </w:p>
        </w:tc>
        <w:tc>
          <w:tcPr>
            <w:tcW w:w="346" w:type="pct"/>
            <w:noWrap w:val="0"/>
            <w:vAlign w:val="center"/>
          </w:tcPr>
          <w:p w14:paraId="5E1B68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r w14:paraId="7DC3F81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27" w:type="pct"/>
            <w:noWrap w:val="0"/>
            <w:vAlign w:val="center"/>
          </w:tcPr>
          <w:p w14:paraId="1D0AD2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伸肌</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TW</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w:t>
            </w:r>
            <w:bookmarkEnd w:id="103"/>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J）</w:t>
            </w:r>
          </w:p>
        </w:tc>
        <w:tc>
          <w:tcPr>
            <w:tcW w:w="641" w:type="pct"/>
            <w:noWrap w:val="0"/>
            <w:vAlign w:val="center"/>
          </w:tcPr>
          <w:p w14:paraId="6EE1B8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56.94±11.43</w:t>
            </w:r>
          </w:p>
        </w:tc>
        <w:tc>
          <w:tcPr>
            <w:tcW w:w="694" w:type="pct"/>
            <w:noWrap w:val="0"/>
            <w:vAlign w:val="center"/>
          </w:tcPr>
          <w:p w14:paraId="3AE581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144.75±36.28</w:t>
            </w:r>
          </w:p>
        </w:tc>
        <w:tc>
          <w:tcPr>
            <w:tcW w:w="398" w:type="pct"/>
            <w:noWrap w:val="0"/>
            <w:vAlign w:val="center"/>
          </w:tcPr>
          <w:p w14:paraId="124494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16.295</w:t>
            </w:r>
          </w:p>
        </w:tc>
        <w:tc>
          <w:tcPr>
            <w:tcW w:w="346" w:type="pct"/>
            <w:noWrap w:val="0"/>
            <w:vAlign w:val="center"/>
          </w:tcPr>
          <w:p w14:paraId="1677E0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11" w:type="pct"/>
            <w:noWrap w:val="0"/>
            <w:vAlign w:val="center"/>
          </w:tcPr>
          <w:p w14:paraId="74B306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641" w:type="pct"/>
            <w:noWrap w:val="0"/>
            <w:vAlign w:val="center"/>
          </w:tcPr>
          <w:p w14:paraId="01EE6E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56.55±11.38</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a</w:t>
            </w:r>
          </w:p>
        </w:tc>
        <w:tc>
          <w:tcPr>
            <w:tcW w:w="694" w:type="pct"/>
            <w:noWrap w:val="0"/>
            <w:vAlign w:val="center"/>
          </w:tcPr>
          <w:p w14:paraId="72558C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176.34±33.74</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b</w:t>
            </w:r>
          </w:p>
        </w:tc>
        <w:tc>
          <w:tcPr>
            <w:tcW w:w="398" w:type="pct"/>
            <w:noWrap w:val="0"/>
            <w:vAlign w:val="center"/>
          </w:tcPr>
          <w:p w14:paraId="522D57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23.742</w:t>
            </w:r>
          </w:p>
        </w:tc>
        <w:tc>
          <w:tcPr>
            <w:tcW w:w="346" w:type="pct"/>
            <w:noWrap w:val="0"/>
            <w:vAlign w:val="center"/>
          </w:tcPr>
          <w:p w14:paraId="74CC14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r w14:paraId="387AF03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27" w:type="pct"/>
            <w:noWrap w:val="0"/>
            <w:vAlign w:val="center"/>
          </w:tcPr>
          <w:p w14:paraId="774925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屈肌AP</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w:t>
            </w:r>
            <w:bookmarkEnd w:id="104"/>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W）</w:t>
            </w:r>
          </w:p>
        </w:tc>
        <w:tc>
          <w:tcPr>
            <w:tcW w:w="641" w:type="pct"/>
            <w:noWrap w:val="0"/>
            <w:vAlign w:val="center"/>
          </w:tcPr>
          <w:p w14:paraId="196BE9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6.48</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±3.22</w:t>
            </w:r>
          </w:p>
        </w:tc>
        <w:tc>
          <w:tcPr>
            <w:tcW w:w="694" w:type="pct"/>
            <w:noWrap w:val="0"/>
            <w:vAlign w:val="center"/>
          </w:tcPr>
          <w:p w14:paraId="13AEFD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12.19</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±6.15</w:t>
            </w:r>
          </w:p>
        </w:tc>
        <w:tc>
          <w:tcPr>
            <w:tcW w:w="398" w:type="pct"/>
            <w:noWrap w:val="0"/>
            <w:vAlign w:val="center"/>
          </w:tcPr>
          <w:p w14:paraId="395F06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5.791</w:t>
            </w:r>
          </w:p>
        </w:tc>
        <w:tc>
          <w:tcPr>
            <w:tcW w:w="346" w:type="pct"/>
            <w:noWrap w:val="0"/>
            <w:vAlign w:val="center"/>
          </w:tcPr>
          <w:p w14:paraId="2325D6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11" w:type="pct"/>
            <w:noWrap w:val="0"/>
            <w:vAlign w:val="center"/>
          </w:tcPr>
          <w:p w14:paraId="43B385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641" w:type="pct"/>
            <w:noWrap w:val="0"/>
            <w:vAlign w:val="center"/>
          </w:tcPr>
          <w:p w14:paraId="5AF97F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6.54</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±3.18</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a</w:t>
            </w:r>
          </w:p>
        </w:tc>
        <w:tc>
          <w:tcPr>
            <w:tcW w:w="694" w:type="pct"/>
            <w:noWrap w:val="0"/>
            <w:vAlign w:val="center"/>
          </w:tcPr>
          <w:p w14:paraId="59CCE7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16.08</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±5.77</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b</w:t>
            </w:r>
          </w:p>
        </w:tc>
        <w:tc>
          <w:tcPr>
            <w:tcW w:w="398" w:type="pct"/>
            <w:noWrap w:val="0"/>
            <w:vAlign w:val="center"/>
          </w:tcPr>
          <w:p w14:paraId="63D951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10.190</w:t>
            </w:r>
          </w:p>
        </w:tc>
        <w:tc>
          <w:tcPr>
            <w:tcW w:w="346" w:type="pct"/>
            <w:noWrap w:val="0"/>
            <w:vAlign w:val="center"/>
          </w:tcPr>
          <w:p w14:paraId="495033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r w14:paraId="5F901C8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27" w:type="pct"/>
            <w:noWrap w:val="0"/>
            <w:vAlign w:val="center"/>
          </w:tcPr>
          <w:p w14:paraId="55DF3E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伸肌AP</w:t>
            </w:r>
            <w:r>
              <w:rPr>
                <w:rFonts w:hint="default" w:ascii="Times New Roman" w:hAnsi="Times New Roman" w:eastAsia="宋体" w:cs="Times New Roman"/>
                <w:color w:val="auto"/>
                <w:sz w:val="21"/>
                <w:szCs w:val="21"/>
                <w:highlight w:val="none"/>
                <w:shd w:val="clear" w:color="auto" w:fill="auto"/>
                <w:lang w:val="en-US" w:eastAsia="zh-CN" w:bidi="ar"/>
              </w:rPr>
              <w:t>（</w:t>
            </w:r>
            <w:bookmarkEnd w:id="105"/>
            <w:r>
              <w:rPr>
                <w:rFonts w:hint="default" w:ascii="Times New Roman" w:hAnsi="Times New Roman" w:eastAsia="宋体" w:cs="Times New Roman"/>
                <w:color w:val="auto"/>
                <w:sz w:val="21"/>
                <w:szCs w:val="21"/>
                <w:highlight w:val="none"/>
                <w:shd w:val="clear" w:color="auto" w:fill="auto"/>
                <w:lang w:val="en-US" w:eastAsia="zh-CN" w:bidi="ar"/>
              </w:rPr>
              <w:t>W）</w:t>
            </w:r>
          </w:p>
        </w:tc>
        <w:tc>
          <w:tcPr>
            <w:tcW w:w="641" w:type="pct"/>
            <w:noWrap w:val="0"/>
            <w:vAlign w:val="center"/>
          </w:tcPr>
          <w:p w14:paraId="235D2F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4.30</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±3.57</w:t>
            </w:r>
          </w:p>
        </w:tc>
        <w:tc>
          <w:tcPr>
            <w:tcW w:w="694" w:type="pct"/>
            <w:noWrap w:val="0"/>
            <w:vAlign w:val="center"/>
          </w:tcPr>
          <w:p w14:paraId="0433A4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10.29</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±7.09</w:t>
            </w:r>
          </w:p>
        </w:tc>
        <w:tc>
          <w:tcPr>
            <w:tcW w:w="398" w:type="pct"/>
            <w:noWrap w:val="0"/>
            <w:vAlign w:val="center"/>
          </w:tcPr>
          <w:p w14:paraId="6722E8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5.314</w:t>
            </w:r>
          </w:p>
        </w:tc>
        <w:tc>
          <w:tcPr>
            <w:tcW w:w="346" w:type="pct"/>
            <w:noWrap w:val="0"/>
            <w:vAlign w:val="center"/>
          </w:tcPr>
          <w:p w14:paraId="2C589F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11" w:type="pct"/>
            <w:noWrap w:val="0"/>
            <w:vAlign w:val="center"/>
          </w:tcPr>
          <w:p w14:paraId="20CD47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641" w:type="pct"/>
            <w:noWrap w:val="0"/>
            <w:vAlign w:val="center"/>
          </w:tcPr>
          <w:p w14:paraId="75895C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4.22</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±3.62</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a</w:t>
            </w:r>
          </w:p>
        </w:tc>
        <w:tc>
          <w:tcPr>
            <w:tcW w:w="694" w:type="pct"/>
            <w:noWrap w:val="0"/>
            <w:vAlign w:val="center"/>
          </w:tcPr>
          <w:p w14:paraId="5A0710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15.81</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±6.93</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b</w:t>
            </w:r>
          </w:p>
        </w:tc>
        <w:tc>
          <w:tcPr>
            <w:tcW w:w="398" w:type="pct"/>
            <w:noWrap w:val="0"/>
            <w:vAlign w:val="center"/>
          </w:tcPr>
          <w:p w14:paraId="093218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10.436</w:t>
            </w:r>
          </w:p>
        </w:tc>
        <w:tc>
          <w:tcPr>
            <w:tcW w:w="346" w:type="pct"/>
            <w:noWrap w:val="0"/>
            <w:vAlign w:val="center"/>
          </w:tcPr>
          <w:p w14:paraId="67180D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bl>
    <w:p w14:paraId="71F077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注：</w:t>
      </w:r>
      <w:r>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t>PT</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为</w:t>
      </w:r>
      <w:r>
        <w:rPr>
          <w:rFonts w:hint="eastAsia" w:ascii="Times New Roman" w:hAnsi="Times New Roman" w:cs="Times New Roman"/>
          <w:b w:val="0"/>
          <w:bCs w:val="0"/>
          <w:color w:val="auto"/>
          <w:kern w:val="2"/>
          <w:sz w:val="21"/>
          <w:szCs w:val="21"/>
          <w:highlight w:val="none"/>
          <w:shd w:val="clear" w:color="auto" w:fill="auto"/>
          <w:vertAlign w:val="baseline"/>
          <w:lang w:val="en-US" w:eastAsia="zh-CN" w:bidi="ar"/>
        </w:rPr>
        <w:t>峰</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力矩；TW为总功率；AP为平均功率。</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a</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与对照组干预前比较，差异均无统计学意义（</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t</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=0.043、0.046、0.062、0.167、0.091、0.109，</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P</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=0.965、0.963、0.950、0.867、0.927、0.913</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w:t>
      </w:r>
      <w:bookmarkEnd w:id="106"/>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b</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与对照组干预3周后比较，差异均有统计学意义（</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t</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=4.112、3.484、2.995、4.417、3.195、3.857，</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P</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&lt;0.001、&lt;0.001、</w:t>
      </w:r>
      <w:r>
        <w:rPr>
          <w:rFonts w:hint="eastAsia" w:ascii="Times New Roman" w:hAnsi="Times New Roman" w:cs="Times New Roman"/>
          <w:b w:val="0"/>
          <w:bCs w:val="0"/>
          <w:i w:val="0"/>
          <w:iCs w:val="0"/>
          <w:color w:val="auto"/>
          <w:kern w:val="2"/>
          <w:sz w:val="21"/>
          <w:szCs w:val="21"/>
          <w:highlight w:val="none"/>
          <w:shd w:val="clear" w:color="auto" w:fill="auto"/>
          <w:vertAlign w:val="baseline"/>
          <w:lang w:val="en-US" w:eastAsia="zh-CN" w:bidi="ar"/>
        </w:rPr>
        <w:t>=</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0.003、&lt;0.001、</w:t>
      </w:r>
      <w:r>
        <w:rPr>
          <w:rFonts w:hint="eastAsia" w:ascii="Times New Roman" w:hAnsi="Times New Roman" w:cs="Times New Roman"/>
          <w:b w:val="0"/>
          <w:bCs w:val="0"/>
          <w:i w:val="0"/>
          <w:iCs w:val="0"/>
          <w:color w:val="auto"/>
          <w:kern w:val="2"/>
          <w:sz w:val="21"/>
          <w:szCs w:val="21"/>
          <w:highlight w:val="none"/>
          <w:shd w:val="clear" w:color="auto" w:fill="auto"/>
          <w:vertAlign w:val="baseline"/>
          <w:lang w:val="en-US" w:eastAsia="zh-CN" w:bidi="ar"/>
        </w:rPr>
        <w:t>=</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0.001、&lt;0.001</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w:t>
      </w:r>
      <w:bookmarkEnd w:id="107"/>
      <w:bookmarkEnd w:id="108"/>
    </w:p>
    <w:p w14:paraId="7208CC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color w:val="auto"/>
          <w:kern w:val="2"/>
          <w:sz w:val="21"/>
          <w:szCs w:val="21"/>
          <w:highlight w:val="none"/>
          <w:shd w:val="clear" w:color="auto" w:fill="auto"/>
          <w:lang w:val="en-US" w:eastAsia="zh-CN" w:bidi="ar"/>
        </w:rPr>
        <w:t>五、2组患者脑血流动力学比较</w:t>
      </w:r>
      <w:bookmarkEnd w:id="109"/>
    </w:p>
    <w:p w14:paraId="63E4A9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
        </w:rPr>
      </w:pPr>
      <w:r>
        <w:rPr>
          <w:rFonts w:hint="default" w:ascii="Times New Roman" w:hAnsi="Times New Roman" w:eastAsia="宋体" w:cs="Times New Roman"/>
          <w:b w:val="0"/>
          <w:bCs/>
          <w:color w:val="auto"/>
          <w:kern w:val="2"/>
          <w:sz w:val="21"/>
          <w:szCs w:val="21"/>
          <w:highlight w:val="none"/>
          <w:shd w:val="clear" w:color="auto" w:fill="auto"/>
          <w:lang w:val="en-US" w:eastAsia="zh-CN" w:bidi="ar"/>
        </w:rPr>
        <w:t>干预前，2组脑卒中后偏瘫患者</w:t>
      </w:r>
      <w:r>
        <w:rPr>
          <w:rFonts w:hint="eastAsia" w:ascii="Times New Roman" w:hAnsi="Times New Roman" w:cs="Times New Roman"/>
          <w:b w:val="0"/>
          <w:bCs/>
          <w:color w:val="auto"/>
          <w:kern w:val="2"/>
          <w:sz w:val="21"/>
          <w:szCs w:val="21"/>
          <w:highlight w:val="none"/>
          <w:shd w:val="clear" w:color="auto" w:fill="auto"/>
          <w:lang w:val="en-US" w:eastAsia="zh-CN" w:bidi="ar"/>
        </w:rPr>
        <w:t>的</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L-MCA、R-MCA、BA血流速度比较，差异均无统计学意义（</w:t>
      </w:r>
      <w:r>
        <w:rPr>
          <w:rFonts w:hint="default" w:ascii="Times New Roman" w:hAnsi="Times New Roman" w:eastAsia="宋体" w:cs="Times New Roman"/>
          <w:i/>
          <w:iCs/>
          <w:caps w:val="0"/>
          <w:color w:val="auto"/>
          <w:spacing w:val="0"/>
          <w:sz w:val="21"/>
          <w:szCs w:val="21"/>
          <w:highlight w:val="none"/>
          <w:shd w:val="clear" w:color="auto" w:fill="auto"/>
        </w:rPr>
        <w:t>P</w:t>
      </w:r>
      <w:r>
        <w:rPr>
          <w:rFonts w:hint="default" w:ascii="Times New Roman" w:hAnsi="Times New Roman" w:eastAsia="宋体" w:cs="Times New Roman"/>
          <w:i w:val="0"/>
          <w:iCs w:val="0"/>
          <w:caps w:val="0"/>
          <w:color w:val="auto"/>
          <w:spacing w:val="0"/>
          <w:sz w:val="21"/>
          <w:szCs w:val="21"/>
          <w:highlight w:val="none"/>
          <w:shd w:val="clear" w:color="auto" w:fill="auto"/>
        </w:rPr>
        <w:t>均＞0.05，表</w:t>
      </w:r>
      <w:r>
        <w:rPr>
          <w:rFonts w:hint="default" w:ascii="Times New Roman" w:hAnsi="Times New Roman" w:eastAsia="宋体" w:cs="Times New Roman"/>
          <w:i w:val="0"/>
          <w:iCs w:val="0"/>
          <w:caps w:val="0"/>
          <w:color w:val="auto"/>
          <w:spacing w:val="0"/>
          <w:sz w:val="21"/>
          <w:szCs w:val="21"/>
          <w:highlight w:val="none"/>
          <w:shd w:val="clear" w:color="auto" w:fill="auto"/>
          <w:lang w:val="en-US" w:eastAsia="zh-CN"/>
        </w:rPr>
        <w:t>5</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bookmarkEnd w:id="110"/>
      <w:r>
        <w:rPr>
          <w:rFonts w:hint="default" w:ascii="Times New Roman" w:hAnsi="Times New Roman" w:eastAsia="宋体" w:cs="Times New Roman"/>
          <w:b w:val="0"/>
          <w:bCs/>
          <w:color w:val="auto"/>
          <w:kern w:val="2"/>
          <w:sz w:val="21"/>
          <w:szCs w:val="21"/>
          <w:highlight w:val="none"/>
          <w:shd w:val="clear" w:color="auto" w:fill="auto"/>
          <w:lang w:val="en-US" w:eastAsia="zh-CN" w:bidi="ar"/>
        </w:rPr>
        <w:t>干预3周后，2组脑卒中后偏瘫患者</w:t>
      </w:r>
      <w:r>
        <w:rPr>
          <w:rFonts w:hint="eastAsia" w:ascii="Times New Roman" w:hAnsi="Times New Roman" w:cs="Times New Roman"/>
          <w:b w:val="0"/>
          <w:bCs/>
          <w:color w:val="auto"/>
          <w:kern w:val="2"/>
          <w:sz w:val="21"/>
          <w:szCs w:val="21"/>
          <w:highlight w:val="none"/>
          <w:shd w:val="clear" w:color="auto" w:fill="auto"/>
          <w:lang w:val="en-US" w:eastAsia="zh-CN" w:bidi="ar"/>
        </w:rPr>
        <w:t>的</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L-MCA、R-MCA、BA血流速度均较干预前显著升高，差异均有统计学意义（</w:t>
      </w:r>
      <w:r>
        <w:rPr>
          <w:rFonts w:hint="default" w:ascii="Times New Roman" w:hAnsi="Times New Roman" w:eastAsia="宋体" w:cs="Times New Roman"/>
          <w:i/>
          <w:iCs/>
          <w:caps w:val="0"/>
          <w:color w:val="auto"/>
          <w:spacing w:val="0"/>
          <w:sz w:val="21"/>
          <w:szCs w:val="21"/>
          <w:highlight w:val="none"/>
          <w:shd w:val="clear" w:color="auto" w:fill="auto"/>
        </w:rPr>
        <w:t>P</w:t>
      </w:r>
      <w:r>
        <w:rPr>
          <w:rFonts w:hint="default" w:ascii="Times New Roman" w:hAnsi="Times New Roman" w:eastAsia="宋体" w:cs="Times New Roman"/>
          <w:i w:val="0"/>
          <w:iCs w:val="0"/>
          <w:caps w:val="0"/>
          <w:color w:val="auto"/>
          <w:spacing w:val="0"/>
          <w:sz w:val="21"/>
          <w:szCs w:val="21"/>
          <w:highlight w:val="none"/>
          <w:shd w:val="clear" w:color="auto" w:fill="auto"/>
        </w:rPr>
        <w:t>均</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&lt;</w:t>
      </w:r>
      <w:r>
        <w:rPr>
          <w:rFonts w:hint="default" w:ascii="Times New Roman" w:hAnsi="Times New Roman" w:eastAsia="宋体" w:cs="Times New Roman"/>
          <w:i w:val="0"/>
          <w:iCs w:val="0"/>
          <w:caps w:val="0"/>
          <w:color w:val="auto"/>
          <w:spacing w:val="0"/>
          <w:sz w:val="21"/>
          <w:szCs w:val="21"/>
          <w:highlight w:val="none"/>
          <w:shd w:val="clear" w:color="auto" w:fill="auto"/>
        </w:rPr>
        <w:t>0.05，表</w:t>
      </w:r>
      <w:r>
        <w:rPr>
          <w:rFonts w:hint="default" w:ascii="Times New Roman" w:hAnsi="Times New Roman" w:eastAsia="宋体" w:cs="Times New Roman"/>
          <w:i w:val="0"/>
          <w:iCs w:val="0"/>
          <w:caps w:val="0"/>
          <w:color w:val="auto"/>
          <w:spacing w:val="0"/>
          <w:sz w:val="21"/>
          <w:szCs w:val="21"/>
          <w:highlight w:val="none"/>
          <w:shd w:val="clear" w:color="auto" w:fill="auto"/>
          <w:lang w:val="en-US" w:eastAsia="zh-CN"/>
        </w:rPr>
        <w:t>5</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w:t>
      </w:r>
      <w:bookmarkEnd w:id="111"/>
      <w:r>
        <w:rPr>
          <w:rFonts w:hint="default" w:ascii="Times New Roman" w:hAnsi="Times New Roman" w:eastAsia="宋体" w:cs="Times New Roman"/>
          <w:b w:val="0"/>
          <w:bCs/>
          <w:color w:val="auto"/>
          <w:kern w:val="2"/>
          <w:sz w:val="21"/>
          <w:szCs w:val="21"/>
          <w:highlight w:val="none"/>
          <w:shd w:val="clear" w:color="auto" w:fill="auto"/>
          <w:lang w:val="en-US" w:eastAsia="zh-CN" w:bidi="ar"/>
        </w:rPr>
        <w:t>试验组患者干预3周后的L-MCA、R-MCA、BA血流速度均显著高于对照组</w:t>
      </w:r>
      <w:r>
        <w:rPr>
          <w:rFonts w:hint="eastAsia" w:ascii="Times New Roman" w:hAnsi="Times New Roman" w:cs="Times New Roman"/>
          <w:b w:val="0"/>
          <w:bCs/>
          <w:color w:val="auto"/>
          <w:kern w:val="2"/>
          <w:sz w:val="21"/>
          <w:szCs w:val="21"/>
          <w:highlight w:val="none"/>
          <w:shd w:val="clear" w:color="auto" w:fill="auto"/>
          <w:lang w:val="en-US" w:eastAsia="zh-CN" w:bidi="ar"/>
        </w:rPr>
        <w:t>患者</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，差异均有统计学意义（</w:t>
      </w:r>
      <w:r>
        <w:rPr>
          <w:rFonts w:hint="default" w:ascii="Times New Roman" w:hAnsi="Times New Roman" w:eastAsia="宋体" w:cs="Times New Roman"/>
          <w:i/>
          <w:iCs/>
          <w:caps w:val="0"/>
          <w:color w:val="auto"/>
          <w:spacing w:val="0"/>
          <w:sz w:val="21"/>
          <w:szCs w:val="21"/>
          <w:highlight w:val="none"/>
          <w:shd w:val="clear" w:color="auto" w:fill="auto"/>
        </w:rPr>
        <w:t>P</w:t>
      </w:r>
      <w:r>
        <w:rPr>
          <w:rFonts w:hint="default" w:ascii="Times New Roman" w:hAnsi="Times New Roman" w:eastAsia="宋体" w:cs="Times New Roman"/>
          <w:i w:val="0"/>
          <w:iCs w:val="0"/>
          <w:caps w:val="0"/>
          <w:color w:val="auto"/>
          <w:spacing w:val="0"/>
          <w:sz w:val="21"/>
          <w:szCs w:val="21"/>
          <w:highlight w:val="none"/>
          <w:shd w:val="clear" w:color="auto" w:fill="auto"/>
        </w:rPr>
        <w:t>均</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&lt;</w:t>
      </w:r>
      <w:r>
        <w:rPr>
          <w:rFonts w:hint="default" w:ascii="Times New Roman" w:hAnsi="Times New Roman" w:eastAsia="宋体" w:cs="Times New Roman"/>
          <w:i w:val="0"/>
          <w:iCs w:val="0"/>
          <w:caps w:val="0"/>
          <w:color w:val="auto"/>
          <w:spacing w:val="0"/>
          <w:sz w:val="21"/>
          <w:szCs w:val="21"/>
          <w:highlight w:val="none"/>
          <w:shd w:val="clear" w:color="auto" w:fill="auto"/>
        </w:rPr>
        <w:t>0.05，</w:t>
      </w:r>
      <w:r>
        <w:rPr>
          <w:rFonts w:hint="default" w:ascii="Times New Roman" w:hAnsi="Times New Roman" w:eastAsia="宋体" w:cs="Times New Roman"/>
          <w:b w:val="0"/>
          <w:bCs/>
          <w:color w:val="auto"/>
          <w:kern w:val="2"/>
          <w:sz w:val="21"/>
          <w:szCs w:val="21"/>
          <w:highlight w:val="none"/>
          <w:shd w:val="clear" w:color="auto" w:fill="auto"/>
          <w:lang w:val="en-US" w:eastAsia="zh-CN" w:bidi="ar"/>
        </w:rPr>
        <w:t>表5）。</w:t>
      </w:r>
    </w:p>
    <w:p w14:paraId="6D5196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
        </w:rPr>
      </w:pPr>
    </w:p>
    <w:p w14:paraId="0C8AC7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
        </w:rPr>
      </w:pPr>
      <w:r>
        <w:rPr>
          <w:rFonts w:hint="default" w:ascii="Times New Roman" w:hAnsi="Times New Roman" w:eastAsia="宋体" w:cs="Times New Roman"/>
          <w:b/>
          <w:bCs/>
          <w:color w:val="auto"/>
          <w:kern w:val="2"/>
          <w:sz w:val="21"/>
          <w:szCs w:val="21"/>
          <w:highlight w:val="none"/>
          <w:shd w:val="clear" w:color="auto" w:fill="auto"/>
          <w:lang w:val="en-US" w:eastAsia="zh-CN" w:bidi="ar"/>
        </w:rPr>
        <w:t>表</w:t>
      </w:r>
      <w:r>
        <w:rPr>
          <w:rFonts w:hint="eastAsia" w:ascii="Times New Roman" w:hAnsi="Times New Roman" w:eastAsia="宋体" w:cs="Times New Roman"/>
          <w:b/>
          <w:bCs/>
          <w:color w:val="auto"/>
          <w:kern w:val="2"/>
          <w:sz w:val="21"/>
          <w:szCs w:val="21"/>
          <w:highlight w:val="none"/>
          <w:shd w:val="clear" w:color="auto" w:fill="auto"/>
          <w:lang w:val="en-US" w:eastAsia="zh-CN" w:bidi="ar"/>
        </w:rPr>
        <w:t>5</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 xml:space="preserve"> </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 xml:space="preserve"> 2</w:t>
      </w:r>
      <w:bookmarkEnd w:id="112"/>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组脑</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卒中后偏瘫患者脑血流动力学比较（cm/s</w:t>
      </w: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auto"/>
          <w:position w:val="-6"/>
          <w:sz w:val="21"/>
          <w:szCs w:val="21"/>
          <w:highlight w:val="none"/>
          <w:shd w:val="clear" w:color="auto" w:fill="auto"/>
        </w:rPr>
        <w:object>
          <v:shape id="_x0000_i1031" style="height:13.2pt;width:26.4pt;" coordsize="21600,21600" filled="f" stroked="f" o:spt="75" o:ole="t" type="#_x0000_t75">
            <v:path/>
            <v:fill on="f" focussize="0,0"/>
            <v:stroke on="f"/>
            <v:imagedata embosscolor="#FFFFFF" o:title="" r:id="rId7"/>
            <o:lock v:ext="edit" aspectratio="t"/>
            <w10:wrap type="none"/>
            <w10:anchorlock/>
          </v:shape>
          <o:OLEObject Type="Embed" ProgID="Equation.3" ShapeID="_x0000_i1031" DrawAspect="Content" ObjectID="_1468075731" r:id="rId13">
            <o:LockedField>false</o:LockedField>
          </o:OLEObject>
        </w:objec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w:t>
      </w:r>
      <w:bookmarkEnd w:id="113"/>
      <w:bookmarkEnd w:id="114"/>
    </w:p>
    <w:tbl>
      <w:tblPr>
        <w:tblStyle w:val="12"/>
        <w:tblW w:w="4998"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14"/>
        <w:gridCol w:w="1172"/>
        <w:gridCol w:w="1172"/>
        <w:gridCol w:w="794"/>
        <w:gridCol w:w="807"/>
        <w:gridCol w:w="222"/>
        <w:gridCol w:w="1233"/>
        <w:gridCol w:w="1241"/>
        <w:gridCol w:w="795"/>
        <w:gridCol w:w="808"/>
      </w:tblGrid>
      <w:tr w14:paraId="2CE793B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26" w:type="pct"/>
            <w:vMerge w:val="restart"/>
            <w:noWrap w:val="0"/>
            <w:vAlign w:val="center"/>
          </w:tcPr>
          <w:p w14:paraId="7BDB99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指标</w:t>
            </w:r>
          </w:p>
        </w:tc>
        <w:tc>
          <w:tcPr>
            <w:tcW w:w="1921" w:type="pct"/>
            <w:gridSpan w:val="4"/>
            <w:tcBorders>
              <w:bottom w:val="single" w:color="auto" w:sz="4" w:space="0"/>
            </w:tcBorders>
            <w:noWrap w:val="0"/>
            <w:vAlign w:val="center"/>
          </w:tcPr>
          <w:p w14:paraId="68C992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对照组（</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n</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=48</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w:t>
            </w:r>
          </w:p>
        </w:tc>
        <w:tc>
          <w:tcPr>
            <w:tcW w:w="131" w:type="pct"/>
            <w:vMerge w:val="restart"/>
            <w:noWrap w:val="0"/>
            <w:vAlign w:val="center"/>
          </w:tcPr>
          <w:p w14:paraId="219B5F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1921" w:type="pct"/>
            <w:gridSpan w:val="4"/>
            <w:tcBorders>
              <w:bottom w:val="single" w:color="auto" w:sz="4" w:space="0"/>
            </w:tcBorders>
            <w:noWrap w:val="0"/>
            <w:vAlign w:val="center"/>
          </w:tcPr>
          <w:p w14:paraId="105E4F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试验组（</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n</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=48</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w:t>
            </w:r>
          </w:p>
        </w:tc>
      </w:tr>
      <w:tr w14:paraId="795E3A8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26" w:type="pct"/>
            <w:vMerge w:val="continue"/>
            <w:tcBorders>
              <w:bottom w:val="single" w:color="auto" w:sz="4" w:space="0"/>
            </w:tcBorders>
            <w:noWrap w:val="0"/>
            <w:vAlign w:val="center"/>
          </w:tcPr>
          <w:p w14:paraId="3B8F5B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497" w:type="pct"/>
            <w:tcBorders>
              <w:top w:val="single" w:color="auto" w:sz="4" w:space="0"/>
              <w:bottom w:val="single" w:color="auto" w:sz="4" w:space="0"/>
            </w:tcBorders>
            <w:noWrap w:val="0"/>
            <w:vAlign w:val="center"/>
          </w:tcPr>
          <w:p w14:paraId="77029A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干预前</w:t>
            </w:r>
          </w:p>
        </w:tc>
        <w:tc>
          <w:tcPr>
            <w:tcW w:w="745" w:type="pct"/>
            <w:tcBorders>
              <w:top w:val="single" w:color="auto" w:sz="4" w:space="0"/>
              <w:bottom w:val="single" w:color="auto" w:sz="4" w:space="0"/>
            </w:tcBorders>
            <w:noWrap w:val="0"/>
            <w:vAlign w:val="center"/>
          </w:tcPr>
          <w:p w14:paraId="3F0891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干预3周后</w:t>
            </w:r>
          </w:p>
        </w:tc>
        <w:tc>
          <w:tcPr>
            <w:tcW w:w="316" w:type="pct"/>
            <w:tcBorders>
              <w:top w:val="single" w:color="auto" w:sz="4" w:space="0"/>
              <w:bottom w:val="single" w:color="auto" w:sz="4" w:space="0"/>
            </w:tcBorders>
            <w:noWrap w:val="0"/>
            <w:vAlign w:val="center"/>
          </w:tcPr>
          <w:p w14:paraId="34A03A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t</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360" w:type="pct"/>
            <w:tcBorders>
              <w:top w:val="single" w:color="auto" w:sz="4" w:space="0"/>
              <w:bottom w:val="single" w:color="auto" w:sz="4" w:space="0"/>
            </w:tcBorders>
            <w:noWrap w:val="0"/>
            <w:vAlign w:val="center"/>
          </w:tcPr>
          <w:p w14:paraId="4EFACB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P</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131" w:type="pct"/>
            <w:vMerge w:val="continue"/>
            <w:tcBorders>
              <w:bottom w:val="single" w:color="auto" w:sz="4" w:space="0"/>
            </w:tcBorders>
            <w:noWrap w:val="0"/>
            <w:vAlign w:val="center"/>
          </w:tcPr>
          <w:p w14:paraId="008353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497" w:type="pct"/>
            <w:tcBorders>
              <w:top w:val="single" w:color="auto" w:sz="4" w:space="0"/>
              <w:bottom w:val="single" w:color="auto" w:sz="4" w:space="0"/>
            </w:tcBorders>
            <w:noWrap w:val="0"/>
            <w:vAlign w:val="center"/>
          </w:tcPr>
          <w:p w14:paraId="0F4E92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干预前</w:t>
            </w:r>
          </w:p>
        </w:tc>
        <w:tc>
          <w:tcPr>
            <w:tcW w:w="745" w:type="pct"/>
            <w:tcBorders>
              <w:top w:val="single" w:color="auto" w:sz="4" w:space="0"/>
              <w:bottom w:val="single" w:color="auto" w:sz="4" w:space="0"/>
            </w:tcBorders>
            <w:noWrap w:val="0"/>
            <w:vAlign w:val="center"/>
          </w:tcPr>
          <w:p w14:paraId="405FAB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干预3周后</w:t>
            </w:r>
          </w:p>
        </w:tc>
        <w:tc>
          <w:tcPr>
            <w:tcW w:w="316" w:type="pct"/>
            <w:tcBorders>
              <w:top w:val="single" w:color="auto" w:sz="4" w:space="0"/>
              <w:bottom w:val="single" w:color="auto" w:sz="4" w:space="0"/>
            </w:tcBorders>
            <w:noWrap w:val="0"/>
            <w:vAlign w:val="center"/>
          </w:tcPr>
          <w:p w14:paraId="67195D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t</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c>
          <w:tcPr>
            <w:tcW w:w="361" w:type="pct"/>
            <w:tcBorders>
              <w:top w:val="single" w:color="auto" w:sz="4" w:space="0"/>
              <w:bottom w:val="single" w:color="auto" w:sz="4" w:space="0"/>
            </w:tcBorders>
            <w:noWrap w:val="0"/>
            <w:vAlign w:val="center"/>
          </w:tcPr>
          <w:p w14:paraId="3CB219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i/>
                <w:iCs/>
                <w:color w:val="auto"/>
                <w:kern w:val="2"/>
                <w:sz w:val="21"/>
                <w:szCs w:val="21"/>
                <w:highlight w:val="none"/>
                <w:shd w:val="clear" w:color="auto" w:fill="auto"/>
                <w:vertAlign w:val="baseline"/>
                <w:lang w:val="en-US" w:eastAsia="zh-CN" w:bidi="ar"/>
              </w:rPr>
              <w:t>P</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值</w:t>
            </w:r>
          </w:p>
        </w:tc>
      </w:tr>
      <w:tr w14:paraId="161649E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26" w:type="pct"/>
            <w:tcBorders>
              <w:top w:val="single" w:color="auto" w:sz="4" w:space="0"/>
            </w:tcBorders>
            <w:noWrap w:val="0"/>
            <w:vAlign w:val="center"/>
          </w:tcPr>
          <w:p w14:paraId="778691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L-MCA</w:t>
            </w:r>
          </w:p>
        </w:tc>
        <w:tc>
          <w:tcPr>
            <w:tcW w:w="497" w:type="pct"/>
            <w:tcBorders>
              <w:top w:val="single" w:color="auto" w:sz="4" w:space="0"/>
            </w:tcBorders>
            <w:noWrap w:val="0"/>
            <w:vAlign w:val="center"/>
          </w:tcPr>
          <w:p w14:paraId="423F65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50.12±3.14</w:t>
            </w:r>
          </w:p>
        </w:tc>
        <w:tc>
          <w:tcPr>
            <w:tcW w:w="745" w:type="pct"/>
            <w:tcBorders>
              <w:top w:val="single" w:color="auto" w:sz="4" w:space="0"/>
            </w:tcBorders>
            <w:noWrap w:val="0"/>
            <w:vAlign w:val="center"/>
          </w:tcPr>
          <w:p w14:paraId="36D0B3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60.59±3.46</w:t>
            </w:r>
          </w:p>
        </w:tc>
        <w:tc>
          <w:tcPr>
            <w:tcW w:w="316" w:type="pct"/>
            <w:tcBorders>
              <w:top w:val="single" w:color="auto" w:sz="4" w:space="0"/>
            </w:tcBorders>
            <w:noWrap w:val="0"/>
            <w:vAlign w:val="center"/>
          </w:tcPr>
          <w:p w14:paraId="1F45ED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15.698</w:t>
            </w:r>
          </w:p>
        </w:tc>
        <w:tc>
          <w:tcPr>
            <w:tcW w:w="723" w:type="dxa"/>
            <w:tcBorders>
              <w:top w:val="single" w:color="auto" w:sz="4" w:space="0"/>
            </w:tcBorders>
            <w:noWrap w:val="0"/>
            <w:vAlign w:val="center"/>
          </w:tcPr>
          <w:p w14:paraId="682837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31" w:type="pct"/>
            <w:tcBorders>
              <w:top w:val="single" w:color="auto" w:sz="4" w:space="0"/>
            </w:tcBorders>
            <w:noWrap w:val="0"/>
            <w:vAlign w:val="center"/>
          </w:tcPr>
          <w:p w14:paraId="4086BB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p>
        </w:tc>
        <w:tc>
          <w:tcPr>
            <w:tcW w:w="497" w:type="pct"/>
            <w:tcBorders>
              <w:top w:val="single" w:color="auto" w:sz="4" w:space="0"/>
            </w:tcBorders>
            <w:noWrap w:val="0"/>
            <w:vAlign w:val="center"/>
          </w:tcPr>
          <w:p w14:paraId="14F26C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50.09±3.12</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a</w:t>
            </w:r>
          </w:p>
        </w:tc>
        <w:tc>
          <w:tcPr>
            <w:tcW w:w="745" w:type="pct"/>
            <w:tcBorders>
              <w:top w:val="single" w:color="auto" w:sz="4" w:space="0"/>
            </w:tcBorders>
            <w:noWrap w:val="0"/>
            <w:vAlign w:val="center"/>
          </w:tcPr>
          <w:p w14:paraId="73E9BE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68.22±4.01</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b</w:t>
            </w:r>
          </w:p>
        </w:tc>
        <w:tc>
          <w:tcPr>
            <w:tcW w:w="316" w:type="pct"/>
            <w:tcBorders>
              <w:top w:val="single" w:color="auto" w:sz="4" w:space="0"/>
            </w:tcBorders>
            <w:noWrap w:val="0"/>
            <w:vAlign w:val="center"/>
          </w:tcPr>
          <w:p w14:paraId="7AD22E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25.037</w:t>
            </w:r>
          </w:p>
        </w:tc>
        <w:tc>
          <w:tcPr>
            <w:tcW w:w="724" w:type="dxa"/>
            <w:tcBorders>
              <w:top w:val="single" w:color="auto" w:sz="4" w:space="0"/>
            </w:tcBorders>
            <w:noWrap w:val="0"/>
            <w:vAlign w:val="center"/>
          </w:tcPr>
          <w:p w14:paraId="727C61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r w14:paraId="2390B55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26" w:type="pct"/>
            <w:noWrap w:val="0"/>
            <w:vAlign w:val="center"/>
          </w:tcPr>
          <w:p w14:paraId="719783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R-MCA</w:t>
            </w:r>
          </w:p>
        </w:tc>
        <w:tc>
          <w:tcPr>
            <w:tcW w:w="497" w:type="pct"/>
            <w:noWrap w:val="0"/>
            <w:vAlign w:val="center"/>
          </w:tcPr>
          <w:p w14:paraId="627A68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51.84±2.95</w:t>
            </w:r>
          </w:p>
        </w:tc>
        <w:tc>
          <w:tcPr>
            <w:tcW w:w="745" w:type="pct"/>
            <w:noWrap w:val="0"/>
            <w:vAlign w:val="center"/>
          </w:tcPr>
          <w:p w14:paraId="7280D5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61.26±3.35</w:t>
            </w:r>
          </w:p>
        </w:tc>
        <w:tc>
          <w:tcPr>
            <w:tcW w:w="316" w:type="pct"/>
            <w:noWrap w:val="0"/>
            <w:vAlign w:val="center"/>
          </w:tcPr>
          <w:p w14:paraId="7476FA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14.788</w:t>
            </w:r>
          </w:p>
        </w:tc>
        <w:tc>
          <w:tcPr>
            <w:tcW w:w="723" w:type="dxa"/>
            <w:noWrap w:val="0"/>
            <w:vAlign w:val="center"/>
          </w:tcPr>
          <w:p w14:paraId="0753F3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31" w:type="pct"/>
            <w:noWrap w:val="0"/>
            <w:vAlign w:val="center"/>
          </w:tcPr>
          <w:p w14:paraId="6F31D9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497" w:type="pct"/>
            <w:noWrap w:val="0"/>
            <w:vAlign w:val="center"/>
          </w:tcPr>
          <w:p w14:paraId="796AA2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51.69±2.98</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a</w:t>
            </w:r>
          </w:p>
        </w:tc>
        <w:tc>
          <w:tcPr>
            <w:tcW w:w="745" w:type="pct"/>
            <w:noWrap w:val="0"/>
            <w:vAlign w:val="center"/>
          </w:tcPr>
          <w:p w14:paraId="146FF9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69.54±3.65</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b</w:t>
            </w:r>
          </w:p>
        </w:tc>
        <w:tc>
          <w:tcPr>
            <w:tcW w:w="316" w:type="pct"/>
            <w:noWrap w:val="0"/>
            <w:vAlign w:val="center"/>
          </w:tcPr>
          <w:p w14:paraId="380ADE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26.567</w:t>
            </w:r>
          </w:p>
        </w:tc>
        <w:tc>
          <w:tcPr>
            <w:tcW w:w="724" w:type="dxa"/>
            <w:noWrap w:val="0"/>
            <w:vAlign w:val="center"/>
          </w:tcPr>
          <w:p w14:paraId="7C2A47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r w14:paraId="7153771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26" w:type="pct"/>
            <w:noWrap w:val="0"/>
            <w:vAlign w:val="center"/>
          </w:tcPr>
          <w:p w14:paraId="23F2F1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BA</w:t>
            </w:r>
          </w:p>
        </w:tc>
        <w:tc>
          <w:tcPr>
            <w:tcW w:w="497" w:type="pct"/>
            <w:noWrap w:val="0"/>
            <w:vAlign w:val="center"/>
          </w:tcPr>
          <w:p w14:paraId="4F5FAC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31.05±2.77</w:t>
            </w:r>
          </w:p>
        </w:tc>
        <w:tc>
          <w:tcPr>
            <w:tcW w:w="745" w:type="pct"/>
            <w:noWrap w:val="0"/>
            <w:vAlign w:val="center"/>
          </w:tcPr>
          <w:p w14:paraId="4E0D3A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40.78±3.19</w:t>
            </w:r>
          </w:p>
        </w:tc>
        <w:tc>
          <w:tcPr>
            <w:tcW w:w="316" w:type="pct"/>
            <w:noWrap w:val="0"/>
            <w:vAlign w:val="center"/>
          </w:tcPr>
          <w:p w14:paraId="19CEFF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16.141</w:t>
            </w:r>
          </w:p>
        </w:tc>
        <w:tc>
          <w:tcPr>
            <w:tcW w:w="723" w:type="dxa"/>
            <w:noWrap w:val="0"/>
            <w:vAlign w:val="center"/>
          </w:tcPr>
          <w:p w14:paraId="2FA2EB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c>
          <w:tcPr>
            <w:tcW w:w="131" w:type="pct"/>
            <w:noWrap w:val="0"/>
            <w:vAlign w:val="center"/>
          </w:tcPr>
          <w:p w14:paraId="688CC0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p>
        </w:tc>
        <w:tc>
          <w:tcPr>
            <w:tcW w:w="497" w:type="pct"/>
            <w:noWrap w:val="0"/>
            <w:vAlign w:val="center"/>
          </w:tcPr>
          <w:p w14:paraId="100450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31.09±2.75</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a</w:t>
            </w:r>
          </w:p>
        </w:tc>
        <w:tc>
          <w:tcPr>
            <w:tcW w:w="745" w:type="pct"/>
            <w:noWrap w:val="0"/>
            <w:vAlign w:val="center"/>
          </w:tcPr>
          <w:p w14:paraId="4F2F4E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48.23±3.02</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b</w:t>
            </w:r>
          </w:p>
        </w:tc>
        <w:tc>
          <w:tcPr>
            <w:tcW w:w="316" w:type="pct"/>
            <w:noWrap w:val="0"/>
            <w:vAlign w:val="center"/>
          </w:tcPr>
          <w:p w14:paraId="3CEE97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29.397</w:t>
            </w:r>
          </w:p>
        </w:tc>
        <w:tc>
          <w:tcPr>
            <w:tcW w:w="724" w:type="dxa"/>
            <w:noWrap w:val="0"/>
            <w:vAlign w:val="center"/>
          </w:tcPr>
          <w:p w14:paraId="3CE71C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vertAlign w:val="baseline"/>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&lt;0.001</w:t>
            </w:r>
          </w:p>
        </w:tc>
      </w:tr>
    </w:tbl>
    <w:p w14:paraId="4099AB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 xml:space="preserve">    注：</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L-MCA</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为左大脑中动脉；</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R-MCA</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为右大脑中动脉；</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BA</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为基底动脉。</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a</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与对照组干预前比较，差异均无统计学意义（</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t</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=0.047、0.247、0.071，</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P</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=0.962、0.804、0.943</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w:t>
      </w:r>
      <w:bookmarkEnd w:id="115"/>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
        </w:rPr>
        <w:t>b</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与对照组干预</w:t>
      </w:r>
      <w:r>
        <w:rPr>
          <w:rFonts w:hint="default" w:ascii="Times New Roman" w:hAnsi="Times New Roman" w:eastAsia="宋体" w:cs="Times New Roman"/>
          <w:color w:val="auto"/>
          <w:kern w:val="2"/>
          <w:sz w:val="21"/>
          <w:szCs w:val="21"/>
          <w:highlight w:val="none"/>
          <w:shd w:val="clear" w:color="auto" w:fill="auto"/>
          <w:vertAlign w:val="baseline"/>
          <w:lang w:val="en-US" w:eastAsia="zh-CN" w:bidi="ar"/>
        </w:rPr>
        <w:t>3周后</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比较，差异均有统计学意义（</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t</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=9.980、11.579、11.750，</w:t>
      </w:r>
      <w:r>
        <w:rPr>
          <w:rFonts w:hint="eastAsia" w:ascii="Times New Roman" w:hAnsi="Times New Roman" w:eastAsia="宋体" w:cs="Times New Roman"/>
          <w:b w:val="0"/>
          <w:bCs w:val="0"/>
          <w:i/>
          <w:iCs/>
          <w:color w:val="auto"/>
          <w:kern w:val="2"/>
          <w:sz w:val="21"/>
          <w:szCs w:val="21"/>
          <w:highlight w:val="none"/>
          <w:shd w:val="clear" w:color="auto" w:fill="auto"/>
          <w:vertAlign w:val="baseline"/>
          <w:lang w:val="en-US" w:eastAsia="zh-CN" w:bidi="ar"/>
        </w:rPr>
        <w:t>P</w:t>
      </w:r>
      <w:r>
        <w:rPr>
          <w:rFonts w:hint="eastAsia" w:ascii="Times New Roman" w:hAnsi="Times New Roman" w:cs="Times New Roman"/>
          <w:b w:val="0"/>
          <w:bCs w:val="0"/>
          <w:i w:val="0"/>
          <w:iCs w:val="0"/>
          <w:color w:val="auto"/>
          <w:kern w:val="2"/>
          <w:sz w:val="21"/>
          <w:szCs w:val="21"/>
          <w:highlight w:val="none"/>
          <w:shd w:val="clear" w:color="auto" w:fill="auto"/>
          <w:vertAlign w:val="baseline"/>
          <w:lang w:val="en-US" w:eastAsia="zh-CN" w:bidi="ar"/>
        </w:rPr>
        <w:t>均</w:t>
      </w:r>
      <w:r>
        <w:rPr>
          <w:rFonts w:hint="eastAsia" w:ascii="Times New Roman" w:hAnsi="Times New Roman" w:eastAsia="宋体" w:cs="Times New Roman"/>
          <w:b w:val="0"/>
          <w:bCs w:val="0"/>
          <w:i w:val="0"/>
          <w:iCs w:val="0"/>
          <w:color w:val="auto"/>
          <w:kern w:val="2"/>
          <w:sz w:val="21"/>
          <w:szCs w:val="21"/>
          <w:highlight w:val="none"/>
          <w:shd w:val="clear" w:color="auto" w:fill="auto"/>
          <w:vertAlign w:val="baseline"/>
          <w:lang w:val="en-US" w:eastAsia="zh-CN" w:bidi="ar"/>
        </w:rPr>
        <w:t>&lt;0.001</w:t>
      </w:r>
      <w:r>
        <w:rPr>
          <w:rFonts w:hint="eastAsia" w:ascii="Times New Roman" w:hAnsi="Times New Roman" w:eastAsia="宋体" w:cs="Times New Roman"/>
          <w:b w:val="0"/>
          <w:bCs w:val="0"/>
          <w:color w:val="auto"/>
          <w:kern w:val="2"/>
          <w:sz w:val="21"/>
          <w:szCs w:val="21"/>
          <w:highlight w:val="none"/>
          <w:shd w:val="clear" w:color="auto" w:fill="auto"/>
          <w:vertAlign w:val="baseline"/>
          <w:lang w:val="en-US" w:eastAsia="zh-CN" w:bidi="ar"/>
        </w:rPr>
        <w:t>）</w:t>
      </w:r>
      <w:bookmarkEnd w:id="116"/>
      <w:bookmarkEnd w:id="117"/>
    </w:p>
    <w:p w14:paraId="1B422789">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color w:val="auto"/>
          <w:kern w:val="2"/>
          <w:sz w:val="21"/>
          <w:szCs w:val="21"/>
          <w:highlight w:val="none"/>
          <w:shd w:val="clear" w:color="auto" w:fill="auto"/>
          <w:lang w:val="en-US" w:eastAsia="zh-CN" w:bidi="ar"/>
        </w:rPr>
        <w:t>安全性评价</w:t>
      </w:r>
      <w:bookmarkEnd w:id="118"/>
    </w:p>
    <w:p w14:paraId="43E28BD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Times New Roman" w:hAnsi="Times New Roman" w:eastAsia="宋体" w:cs="Times New Roman"/>
          <w:color w:val="auto"/>
          <w:kern w:val="2"/>
          <w:sz w:val="21"/>
          <w:szCs w:val="21"/>
          <w:highlight w:val="none"/>
          <w:shd w:val="clear" w:color="auto" w:fill="auto"/>
          <w:lang w:val="en-US" w:eastAsia="zh-CN" w:bidi="ar"/>
        </w:rPr>
        <w:t>干预期间，所有患者均耐受良好，未报告与治疗相关的皮肤刺激、肌肉疲劳或其他不适症状。</w:t>
      </w:r>
    </w:p>
    <w:p w14:paraId="2489CC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
        </w:rPr>
      </w:pPr>
      <w:r>
        <w:rPr>
          <w:rFonts w:hint="default" w:ascii="Times New Roman" w:hAnsi="Times New Roman" w:eastAsia="宋体" w:cs="Times New Roman"/>
          <w:b/>
          <w:bCs/>
          <w:color w:val="auto"/>
          <w:kern w:val="2"/>
          <w:sz w:val="21"/>
          <w:szCs w:val="21"/>
          <w:highlight w:val="none"/>
          <w:shd w:val="clear" w:color="auto" w:fill="auto"/>
          <w:lang w:val="en-US" w:eastAsia="zh-CN" w:bidi="ar"/>
        </w:rPr>
        <w:t>讨</w:t>
      </w:r>
      <w:r>
        <w:rPr>
          <w:rFonts w:hint="eastAsia" w:ascii="Times New Roman" w:hAnsi="Times New Roman" w:eastAsia="宋体" w:cs="Times New Roman"/>
          <w:b/>
          <w:bCs/>
          <w:color w:val="auto"/>
          <w:kern w:val="2"/>
          <w:sz w:val="21"/>
          <w:szCs w:val="21"/>
          <w:highlight w:val="none"/>
          <w:shd w:val="clear" w:color="auto" w:fill="auto"/>
          <w:lang w:val="en-US" w:eastAsia="zh-CN" w:bidi="ar"/>
        </w:rPr>
        <w:t xml:space="preserve">    </w:t>
      </w:r>
      <w:r>
        <w:rPr>
          <w:rFonts w:hint="default" w:ascii="Times New Roman" w:hAnsi="Times New Roman" w:eastAsia="宋体" w:cs="Times New Roman"/>
          <w:b/>
          <w:bCs/>
          <w:color w:val="auto"/>
          <w:kern w:val="2"/>
          <w:sz w:val="21"/>
          <w:szCs w:val="21"/>
          <w:highlight w:val="none"/>
          <w:shd w:val="clear" w:color="auto" w:fill="auto"/>
          <w:lang w:val="en-US" w:eastAsia="zh-CN" w:bidi="ar"/>
        </w:rPr>
        <w:t>论</w:t>
      </w:r>
      <w:bookmarkEnd w:id="119"/>
    </w:p>
    <w:p w14:paraId="6F5E71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val="0"/>
          <w:color w:val="0000FF"/>
          <w:kern w:val="2"/>
          <w:sz w:val="21"/>
          <w:szCs w:val="21"/>
          <w:highlight w:val="none"/>
          <w:shd w:val="clear" w:color="auto" w:fill="auto"/>
          <w:lang w:val="en-US" w:eastAsia="zh-CN" w:bidi="ar"/>
        </w:rPr>
      </w:pP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脑卒中后上肢手部功能障碍发生率</w:t>
      </w:r>
      <w:r>
        <w:rPr>
          <w:rFonts w:hint="eastAsia" w:ascii="Times New Roman" w:hAnsi="Times New Roman" w:eastAsia="宋体" w:cs="Times New Roman"/>
          <w:b w:val="0"/>
          <w:bCs w:val="0"/>
          <w:color w:val="0000FF"/>
          <w:kern w:val="2"/>
          <w:sz w:val="21"/>
          <w:szCs w:val="21"/>
          <w:highlight w:val="none"/>
          <w:shd w:val="clear" w:color="auto" w:fill="auto"/>
          <w:lang w:val="en-US" w:eastAsia="zh-CN" w:bidi="ar"/>
        </w:rPr>
        <w:t>高</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，严重影响患者日常生活活动能力</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[1</w:t>
      </w:r>
      <w:r>
        <w:rPr>
          <w:rFonts w:hint="eastAsia"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2</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。现有康复疗法虽有效但存在局限，探索高效、安全、经济的联合治疗方案具有重要意义</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[1</w:t>
      </w:r>
      <w:r>
        <w:rPr>
          <w:rFonts w:hint="eastAsia"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3</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。本研究创新性地将FES与不对称性等速肌力训练相结合，构建了</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中枢</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bookmarkEnd w:id="120"/>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外周协同干预</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模式。与单纯等速训练或单纯FES相比，该联合方案在改善手部功能方面展现出显著优势：近端肘关节稳定性训练与远端FES诱发的腕背伸、肩外展形成</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近端稳定</w:t>
      </w:r>
      <w:r>
        <w:rPr>
          <w:rFonts w:hint="eastAsia" w:ascii="Times New Roman" w:hAnsi="Times New Roman" w:eastAsia="宋体" w:cs="Times New Roman"/>
          <w:b w:val="0"/>
          <w:bCs w:val="0"/>
          <w:color w:val="0000FF"/>
          <w:kern w:val="2"/>
          <w:sz w:val="21"/>
          <w:szCs w:val="21"/>
          <w:highlight w:val="none"/>
          <w:shd w:val="clear" w:color="auto" w:fill="auto"/>
          <w:lang w:val="en-US" w:eastAsia="zh-CN" w:bidi="ar"/>
        </w:rPr>
        <w:t>－</w:t>
      </w:r>
      <w:bookmarkEnd w:id="121"/>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远端灵活</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的力学链，为手部精细运动提供了必要的生物力学基础</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[14</w:t>
      </w:r>
      <w:r>
        <w:rPr>
          <w:rFonts w:hint="eastAsia" w:ascii="Times New Roman" w:hAnsi="Times New Roman" w:cs="Times New Roman"/>
          <w:b w:val="0"/>
          <w:bCs w:val="0"/>
          <w:color w:val="0000FF"/>
          <w:kern w:val="2"/>
          <w:sz w:val="21"/>
          <w:szCs w:val="21"/>
          <w:highlight w:val="none"/>
          <w:shd w:val="clear" w:color="auto" w:fill="auto"/>
          <w:vertAlign w:val="superscript"/>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15]</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。同时，FES的感觉输入与主动训练协同抑制了脊髓水平的屈肌优势，降低了手内在肌的异常张力（MAS评分显著降低），这一效应是传统单一疗法难以实现的</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[16</w:t>
      </w:r>
      <w:r>
        <w:rPr>
          <w:rFonts w:hint="eastAsia" w:ascii="Times New Roman" w:hAnsi="Times New Roman" w:cs="Times New Roman"/>
          <w:b w:val="0"/>
          <w:bCs w:val="0"/>
          <w:color w:val="0000FF"/>
          <w:kern w:val="2"/>
          <w:sz w:val="21"/>
          <w:szCs w:val="21"/>
          <w:highlight w:val="none"/>
          <w:shd w:val="clear" w:color="auto" w:fill="auto"/>
          <w:vertAlign w:val="superscript"/>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17]</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w:t>
      </w:r>
    </w:p>
    <w:p w14:paraId="5F52C3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val="0"/>
          <w:color w:val="0000FF"/>
          <w:kern w:val="2"/>
          <w:sz w:val="21"/>
          <w:szCs w:val="21"/>
          <w:highlight w:val="none"/>
          <w:shd w:val="clear" w:color="auto" w:fill="auto"/>
          <w:lang w:val="en-US" w:eastAsia="zh-CN" w:bidi="ar"/>
        </w:rPr>
      </w:pPr>
      <w:r>
        <w:rPr>
          <w:rFonts w:hint="eastAsia" w:ascii="Times New Roman" w:hAnsi="Times New Roman" w:cs="Times New Roman"/>
          <w:b w:val="0"/>
          <w:bCs w:val="0"/>
          <w:color w:val="0000FF"/>
          <w:kern w:val="2"/>
          <w:sz w:val="21"/>
          <w:szCs w:val="21"/>
          <w:highlight w:val="none"/>
          <w:shd w:val="clear" w:color="auto" w:fill="auto"/>
          <w:lang w:val="en-US" w:eastAsia="zh-CN" w:bidi="ar"/>
        </w:rPr>
        <w:t>本研究发现</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w:t>
      </w:r>
      <w:r>
        <w:rPr>
          <w:rFonts w:hint="eastAsia" w:ascii="Times New Roman" w:hAnsi="Times New Roman" w:cs="Times New Roman"/>
          <w:b w:val="0"/>
          <w:bCs w:val="0"/>
          <w:color w:val="0000FF"/>
          <w:kern w:val="2"/>
          <w:sz w:val="21"/>
          <w:szCs w:val="21"/>
          <w:highlight w:val="none"/>
          <w:shd w:val="clear" w:color="auto" w:fill="auto"/>
          <w:lang w:val="en-US" w:eastAsia="zh-CN" w:bidi="ar"/>
        </w:rPr>
        <w:t>试验组</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在PT、TW及AP等肌力指标上均显著优于对照组，且握力、捏力提升幅度远超对照组。这种</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1+1&gt;2</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的增效作用可能源于双重神经机制：一方面，FES通过电流直接激活运动轴突，促进运动皮质与脊髓α运动神经元的同步化放电，加速神经通路的再激活</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[18]</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；另一方面，不对称性等速训练通过差异化设置屈肘与伸肘角速度，针对性打破卒中后常见的屈肌痉挛-伸肌弱化模式，改善分离运动质量</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[19]</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。二者同步实施加速了共同运动向分离运动的过渡，符合</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皮质-脊髓通路再激活</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理论</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[20]</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。相比之下，常规康复训练往往难以精确控制阻力与速度的动态匹配，而本方案的等速系统可实时调节阻力，确保训练全程处于最佳负荷区间。</w:t>
      </w:r>
      <w:r>
        <w:rPr>
          <w:rFonts w:hint="eastAsia" w:ascii="Times New Roman" w:hAnsi="Times New Roman" w:cs="Times New Roman"/>
          <w:b w:val="0"/>
          <w:bCs w:val="0"/>
          <w:color w:val="0000FF"/>
          <w:kern w:val="2"/>
          <w:sz w:val="21"/>
          <w:szCs w:val="21"/>
          <w:highlight w:val="none"/>
          <w:shd w:val="clear" w:color="auto" w:fill="auto"/>
          <w:lang w:val="en-US" w:eastAsia="zh-CN" w:bidi="ar"/>
        </w:rPr>
        <w:t>而</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肌力</w:t>
      </w:r>
      <w:r>
        <w:rPr>
          <w:rFonts w:hint="eastAsia" w:ascii="Times New Roman" w:hAnsi="Times New Roman" w:eastAsia="宋体" w:cs="Times New Roman"/>
          <w:b w:val="0"/>
          <w:bCs w:val="0"/>
          <w:color w:val="0000FF"/>
          <w:kern w:val="2"/>
          <w:sz w:val="21"/>
          <w:szCs w:val="21"/>
          <w:highlight w:val="none"/>
          <w:shd w:val="clear" w:color="auto" w:fill="auto"/>
          <w:lang w:val="en-US" w:eastAsia="zh-CN" w:bidi="ar"/>
        </w:rPr>
        <w:t>和</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握力、捏力</w:t>
      </w:r>
      <w:r>
        <w:rPr>
          <w:rFonts w:hint="eastAsia" w:ascii="Times New Roman" w:hAnsi="Times New Roman" w:eastAsia="宋体" w:cs="Times New Roman"/>
          <w:b w:val="0"/>
          <w:bCs w:val="0"/>
          <w:color w:val="0000FF"/>
          <w:kern w:val="2"/>
          <w:sz w:val="21"/>
          <w:szCs w:val="21"/>
          <w:highlight w:val="none"/>
          <w:shd w:val="clear" w:color="auto" w:fill="auto"/>
          <w:lang w:val="en-US" w:eastAsia="zh-CN" w:bidi="ar"/>
        </w:rPr>
        <w:t>的</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提升直接关联抓握、举物等日常活动能力的改善</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[2</w:t>
      </w:r>
      <w:r>
        <w:rPr>
          <w:rFonts w:hint="eastAsia" w:ascii="Times New Roman" w:hAnsi="Times New Roman" w:cs="Times New Roman"/>
          <w:b w:val="0"/>
          <w:bCs w:val="0"/>
          <w:color w:val="0000FF"/>
          <w:kern w:val="2"/>
          <w:sz w:val="21"/>
          <w:szCs w:val="21"/>
          <w:highlight w:val="none"/>
          <w:shd w:val="clear" w:color="auto" w:fill="auto"/>
          <w:vertAlign w:val="superscript"/>
          <w:lang w:val="en-US" w:eastAsia="zh-CN" w:bidi="ar"/>
        </w:rPr>
        <w:t>1</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w:t>
      </w:r>
    </w:p>
    <w:p w14:paraId="33FE06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
        </w:rPr>
      </w:pP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尤为重要的是，本研究证实联合干预可显著改善大脑中动脉及基底动脉血流速度（试验组L-MCA、BA</w:t>
      </w:r>
      <w:r>
        <w:rPr>
          <w:rFonts w:hint="eastAsia" w:ascii="Times New Roman" w:hAnsi="Times New Roman" w:cs="Times New Roman"/>
          <w:b w:val="0"/>
          <w:bCs w:val="0"/>
          <w:color w:val="0000FF"/>
          <w:kern w:val="2"/>
          <w:sz w:val="21"/>
          <w:szCs w:val="21"/>
          <w:highlight w:val="none"/>
          <w:shd w:val="clear" w:color="auto" w:fill="auto"/>
          <w:lang w:val="en-US" w:eastAsia="zh-CN" w:bidi="ar"/>
        </w:rPr>
        <w:t>提升显著优于</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对照组）</w:t>
      </w:r>
      <w:r>
        <w:rPr>
          <w:rFonts w:hint="eastAsia" w:ascii="Times New Roman" w:hAnsi="Times New Roman" w:cs="Times New Roman"/>
          <w:b w:val="0"/>
          <w:bCs w:val="0"/>
          <w:color w:val="0000FF"/>
          <w:kern w:val="2"/>
          <w:sz w:val="21"/>
          <w:szCs w:val="21"/>
          <w:highlight w:val="none"/>
          <w:shd w:val="clear" w:color="auto" w:fill="auto"/>
          <w:lang w:val="en-US" w:eastAsia="zh-CN" w:bidi="ar"/>
        </w:rPr>
        <w:t>，突破了王丽娜等</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[2</w:t>
      </w:r>
      <w:r>
        <w:rPr>
          <w:rFonts w:hint="eastAsia"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2</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w:t>
      </w:r>
      <w:r>
        <w:rPr>
          <w:rFonts w:hint="eastAsia" w:ascii="Times New Roman" w:hAnsi="Times New Roman" w:cs="Times New Roman"/>
          <w:b w:val="0"/>
          <w:bCs w:val="0"/>
          <w:color w:val="0000FF"/>
          <w:kern w:val="2"/>
          <w:sz w:val="21"/>
          <w:szCs w:val="21"/>
          <w:highlight w:val="none"/>
          <w:shd w:val="clear" w:color="auto" w:fill="auto"/>
          <w:lang w:val="en-US" w:eastAsia="zh-CN" w:bidi="ar"/>
        </w:rPr>
        <w:t>传统等速训练仅局限于外周关节功能恢复的模式，实现了从单纯外周干预向“中枢-外周协同调节”康复策略的跨越</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。脑血流动力学的改善提示该方案可能通过增强神经血管耦合、优化脑灌注，为神经可塑性提供必需的代谢支持</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[23]</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。结合FMA-UE评分的显著提升，表明联合干预同时实现了</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外周功能改善</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与</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中枢重塑促进</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的双重目标。</w:t>
      </w:r>
      <w:r>
        <w:rPr>
          <w:rFonts w:hint="eastAsia" w:ascii="Times New Roman" w:hAnsi="Times New Roman" w:cs="Times New Roman"/>
          <w:b w:val="0"/>
          <w:bCs w:val="0"/>
          <w:color w:val="0000FF"/>
          <w:kern w:val="2"/>
          <w:sz w:val="21"/>
          <w:szCs w:val="21"/>
          <w:highlight w:val="none"/>
          <w:shd w:val="clear" w:color="auto" w:fill="auto"/>
          <w:lang w:val="en-US" w:eastAsia="zh-CN" w:bidi="ar"/>
        </w:rPr>
        <w:t>此外，</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本研究采用FMA-UE与MAS作为核心评价指标，前者反映运动功能整体水平，后者敏感捕捉肌张力的动态变化，两者结合为个体化治疗调整提供了客观依据</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[24</w:t>
      </w:r>
      <w:r>
        <w:rPr>
          <w:rFonts w:hint="eastAsia" w:ascii="Times New Roman" w:hAnsi="Times New Roman" w:cs="Times New Roman"/>
          <w:b w:val="0"/>
          <w:bCs w:val="0"/>
          <w:color w:val="0000FF"/>
          <w:kern w:val="2"/>
          <w:sz w:val="21"/>
          <w:szCs w:val="21"/>
          <w:highlight w:val="none"/>
          <w:shd w:val="clear" w:color="auto" w:fill="auto"/>
          <w:vertAlign w:val="superscript"/>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25]</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。结果显示干预后试验组FMA-UE评分显著高于对照组，而MAS评分显著降低，证实联合方案在</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促通</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与</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抑制</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之间实现了良好平衡</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[2</w:t>
      </w:r>
      <w:r>
        <w:rPr>
          <w:rFonts w:hint="eastAsia"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6</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-2</w:t>
      </w:r>
      <w:r>
        <w:rPr>
          <w:rFonts w:hint="eastAsia"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7</w:t>
      </w:r>
      <w:r>
        <w:rPr>
          <w:rFonts w:hint="default" w:ascii="Times New Roman" w:hAnsi="Times New Roman" w:eastAsia="宋体" w:cs="Times New Roman"/>
          <w:b w:val="0"/>
          <w:bCs w:val="0"/>
          <w:color w:val="0000FF"/>
          <w:kern w:val="2"/>
          <w:sz w:val="21"/>
          <w:szCs w:val="21"/>
          <w:highlight w:val="none"/>
          <w:shd w:val="clear" w:color="auto" w:fill="auto"/>
          <w:vertAlign w:val="superscript"/>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。这种双重获益对于卒中后常见的</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软瘫期后痉挛期</w:t>
      </w:r>
      <w:r>
        <w:rPr>
          <w:rFonts w:hint="eastAsia" w:ascii="Times New Roman" w:hAnsi="Times New Roman" w:cs="Times New Roman"/>
          <w:b w:val="0"/>
          <w:bCs w:val="0"/>
          <w:color w:val="0000FF"/>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患者尤为重要，避免了单纯肌力训练可能加重的痉挛模式，也克服了单纯降张治疗可能导致的肌力下降问题。</w:t>
      </w:r>
    </w:p>
    <w:p w14:paraId="51C565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本研究还存在一些局限性：</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首先，单中心设计且样本量有限，未根据病灶位置进行亚组分析，可能存在选择偏倚；其次，干预周期</w:t>
      </w:r>
      <w:r>
        <w:rPr>
          <w:rFonts w:hint="eastAsia" w:ascii="Times New Roman" w:hAnsi="Times New Roman" w:cs="Times New Roman"/>
          <w:b w:val="0"/>
          <w:bCs w:val="0"/>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3周</w:t>
      </w:r>
      <w:r>
        <w:rPr>
          <w:rFonts w:hint="eastAsia" w:ascii="Times New Roman" w:hAnsi="Times New Roman" w:cs="Times New Roman"/>
          <w:b w:val="0"/>
          <w:bCs w:val="0"/>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较短且缺乏长期随访，</w:t>
      </w:r>
      <w:r>
        <w:rPr>
          <w:rFonts w:hint="eastAsia" w:ascii="Times New Roman" w:hAnsi="Times New Roman" w:cs="Times New Roman"/>
          <w:b w:val="0"/>
          <w:bCs w:val="0"/>
          <w:color w:val="auto"/>
          <w:kern w:val="2"/>
          <w:sz w:val="21"/>
          <w:szCs w:val="21"/>
          <w:highlight w:val="none"/>
          <w:shd w:val="clear" w:color="auto" w:fill="auto"/>
          <w:lang w:val="en-US" w:eastAsia="zh-CN" w:bidi="ar"/>
        </w:rPr>
        <w:t>本研究的长期</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疗效尚不明确；再次，患者与治疗师无法设盲，虽</w:t>
      </w:r>
      <w:r>
        <w:rPr>
          <w:rFonts w:hint="eastAsia" w:ascii="Times New Roman" w:hAnsi="Times New Roman" w:cs="Times New Roman"/>
          <w:b w:val="0"/>
          <w:bCs w:val="0"/>
          <w:color w:val="auto"/>
          <w:kern w:val="2"/>
          <w:sz w:val="21"/>
          <w:szCs w:val="21"/>
          <w:highlight w:val="none"/>
          <w:shd w:val="clear" w:color="auto" w:fill="auto"/>
          <w:lang w:val="en-US" w:eastAsia="zh-CN" w:bidi="ar"/>
        </w:rPr>
        <w:t>然</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采用假刺激对照</w:t>
      </w:r>
      <w:r>
        <w:rPr>
          <w:rFonts w:hint="eastAsia" w:ascii="Times New Roman" w:hAnsi="Times New Roman" w:cs="Times New Roman"/>
          <w:b w:val="0"/>
          <w:bCs w:val="0"/>
          <w:color w:val="auto"/>
          <w:kern w:val="2"/>
          <w:sz w:val="21"/>
          <w:szCs w:val="21"/>
          <w:highlight w:val="none"/>
          <w:shd w:val="clear" w:color="auto" w:fill="auto"/>
          <w:lang w:val="en-US" w:eastAsia="zh-CN" w:bidi="ar"/>
        </w:rPr>
        <w:t>，但</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仍可能存在实施偏倚；</w:t>
      </w:r>
      <w:r>
        <w:rPr>
          <w:rFonts w:hint="eastAsia" w:ascii="Times New Roman" w:hAnsi="Times New Roman" w:cs="Times New Roman"/>
          <w:b w:val="0"/>
          <w:bCs w:val="0"/>
          <w:color w:val="0000FF"/>
          <w:kern w:val="2"/>
          <w:sz w:val="21"/>
          <w:szCs w:val="21"/>
          <w:highlight w:val="none"/>
          <w:shd w:val="clear" w:color="auto" w:fill="auto"/>
          <w:lang w:val="en-US" w:eastAsia="zh-CN" w:bidi="ar"/>
        </w:rPr>
        <w:t>最后</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，本研究对MAS评分转换为计量资料后采用独立样本t检验进行组间比较，但考虑到MAS本质上为等级资料，未来研究采用Mann-Whitney U检验等非参数方法进行统计分析将更为严谨，可进一步验证结果的稳健性</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w:t>
      </w:r>
    </w:p>
    <w:p w14:paraId="69C3FC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
        </w:rPr>
      </w:pPr>
      <w:r>
        <w:rPr>
          <w:rFonts w:hint="eastAsia" w:ascii="Times New Roman" w:hAnsi="Times New Roman" w:eastAsia="宋体" w:cs="Times New Roman"/>
          <w:b w:val="0"/>
          <w:bCs w:val="0"/>
          <w:color w:val="auto"/>
          <w:kern w:val="2"/>
          <w:sz w:val="21"/>
          <w:szCs w:val="21"/>
          <w:highlight w:val="none"/>
          <w:shd w:val="clear" w:color="auto" w:fill="auto"/>
          <w:lang w:val="en-US" w:eastAsia="zh-CN" w:bidi="ar"/>
        </w:rPr>
        <w:t>综上所述，</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FES联合不对称性等速肌力训练能有效改善脑卒中偏瘫患者手部功能</w:t>
      </w:r>
      <w:r>
        <w:rPr>
          <w:rFonts w:hint="eastAsia" w:ascii="Times New Roman" w:hAnsi="Times New Roman" w:cs="Times New Roman"/>
          <w:b w:val="0"/>
          <w:bCs w:val="0"/>
          <w:color w:val="auto"/>
          <w:kern w:val="2"/>
          <w:sz w:val="21"/>
          <w:szCs w:val="21"/>
          <w:highlight w:val="none"/>
          <w:shd w:val="clear" w:color="auto" w:fill="auto"/>
          <w:lang w:val="en-US" w:eastAsia="zh-CN" w:bidi="ar"/>
        </w:rPr>
        <w:t>，</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降低肌张力并优化脑血流动力学，</w:t>
      </w:r>
      <w:r>
        <w:rPr>
          <w:rFonts w:hint="eastAsia" w:ascii="Times New Roman" w:hAnsi="Times New Roman" w:cs="Times New Roman"/>
          <w:b w:val="0"/>
          <w:bCs w:val="0"/>
          <w:color w:val="auto"/>
          <w:kern w:val="2"/>
          <w:sz w:val="21"/>
          <w:szCs w:val="21"/>
          <w:highlight w:val="none"/>
          <w:shd w:val="clear" w:color="auto" w:fill="auto"/>
          <w:lang w:val="en-US" w:eastAsia="zh-CN" w:bidi="ar"/>
        </w:rPr>
        <w:t>且</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安全性良好，体现了</w:t>
      </w:r>
      <w:r>
        <w:rPr>
          <w:rFonts w:hint="eastAsia" w:ascii="宋体" w:hAnsi="宋体" w:eastAsia="宋体" w:cs="宋体"/>
          <w:b w:val="0"/>
          <w:bCs w:val="0"/>
          <w:color w:val="auto"/>
          <w:kern w:val="2"/>
          <w:sz w:val="21"/>
          <w:szCs w:val="21"/>
          <w:highlight w:val="none"/>
          <w:shd w:val="clear" w:color="auto" w:fill="auto"/>
          <w:lang w:val="en-US" w:eastAsia="zh-CN" w:bidi="ar"/>
        </w:rPr>
        <w:t>中枢</w:t>
      </w:r>
      <w:r>
        <w:rPr>
          <w:rFonts w:hint="eastAsia" w:ascii="宋体" w:hAnsi="宋体" w:cs="宋体"/>
          <w:b w:val="0"/>
          <w:bCs w:val="0"/>
          <w:color w:val="auto"/>
          <w:kern w:val="2"/>
          <w:sz w:val="21"/>
          <w:szCs w:val="21"/>
          <w:highlight w:val="none"/>
          <w:shd w:val="clear" w:color="auto" w:fill="auto"/>
          <w:lang w:val="en-US" w:eastAsia="zh-CN" w:bidi="ar"/>
        </w:rPr>
        <w:t>－</w:t>
      </w:r>
      <w:bookmarkEnd w:id="122"/>
      <w:r>
        <w:rPr>
          <w:rFonts w:hint="eastAsia" w:ascii="宋体" w:hAnsi="宋体" w:eastAsia="宋体" w:cs="宋体"/>
          <w:b w:val="0"/>
          <w:bCs w:val="0"/>
          <w:color w:val="auto"/>
          <w:kern w:val="2"/>
          <w:sz w:val="21"/>
          <w:szCs w:val="21"/>
          <w:highlight w:val="none"/>
          <w:shd w:val="clear" w:color="auto" w:fill="auto"/>
          <w:lang w:val="en-US" w:eastAsia="zh-CN" w:bidi="ar"/>
        </w:rPr>
        <w:t>外周</w:t>
      </w:r>
      <w:r>
        <w:rPr>
          <w:rFonts w:hint="default" w:ascii="Times New Roman" w:hAnsi="Times New Roman" w:eastAsia="宋体" w:cs="Times New Roman"/>
          <w:b w:val="0"/>
          <w:bCs w:val="0"/>
          <w:color w:val="auto"/>
          <w:kern w:val="2"/>
          <w:sz w:val="21"/>
          <w:szCs w:val="21"/>
          <w:highlight w:val="none"/>
          <w:shd w:val="clear" w:color="auto" w:fill="auto"/>
          <w:lang w:val="en-US" w:eastAsia="zh-CN" w:bidi="ar"/>
        </w:rPr>
        <w:t>协同干预的创新价值。</w:t>
      </w:r>
      <w:r>
        <w:rPr>
          <w:rFonts w:hint="default" w:ascii="Times New Roman" w:hAnsi="Times New Roman" w:eastAsia="宋体" w:cs="Times New Roman"/>
          <w:b w:val="0"/>
          <w:bCs w:val="0"/>
          <w:color w:val="0000FF"/>
          <w:kern w:val="2"/>
          <w:sz w:val="21"/>
          <w:szCs w:val="21"/>
          <w:highlight w:val="none"/>
          <w:shd w:val="clear" w:color="auto" w:fill="auto"/>
          <w:lang w:val="en-US" w:eastAsia="zh-CN" w:bidi="ar"/>
        </w:rPr>
        <w:t>未来研究需开展多中心、大样本随机对照试验，延长干预周期与随访时间，并结合功能性磁共振成像、弥散张量成像等神经影像技术深入揭示中枢重塑机制；同时，进一步探索该方案对不同病程、不同严重程度卒中患者的远期疗效与最佳适用人群，为临床推广应用提供更高级别的循证医学证据</w:t>
      </w:r>
      <w:r>
        <w:rPr>
          <w:rFonts w:hint="eastAsia" w:ascii="Times New Roman" w:hAnsi="Times New Roman" w:eastAsia="宋体" w:cs="Times New Roman"/>
          <w:b w:val="0"/>
          <w:bCs/>
          <w:color w:val="0000FF"/>
          <w:kern w:val="2"/>
          <w:sz w:val="21"/>
          <w:szCs w:val="21"/>
          <w:highlight w:val="none"/>
          <w:shd w:val="clear" w:color="auto" w:fill="auto"/>
          <w:lang w:val="en-US" w:eastAsia="zh-CN" w:bidi="ar"/>
        </w:rPr>
        <w:t>。</w:t>
      </w:r>
    </w:p>
    <w:p w14:paraId="10A95201">
      <w:pPr>
        <w:pStyle w:val="6"/>
        <w:keepNext w:val="0"/>
        <w:keepLines w:val="0"/>
        <w:pageBreakBefore w:val="0"/>
        <w:widowControl/>
        <w:kinsoku/>
        <w:wordWrap/>
        <w:overflowPunct/>
        <w:topLinePunct w:val="0"/>
        <w:autoSpaceDE/>
        <w:autoSpaceDN/>
        <w:bidi w:val="0"/>
        <w:adjustRightInd/>
        <w:snapToGrid/>
        <w:spacing w:after="0" w:afterLines="0" w:line="36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shd w:val="clear" w:color="auto" w:fill="auto"/>
          <w:lang w:val="en-US" w:eastAsia="zh-CN"/>
        </w:rPr>
      </w:pPr>
      <w:r>
        <w:rPr>
          <w:rFonts w:hint="default" w:ascii="Times New Roman" w:hAnsi="Times New Roman" w:eastAsia="宋体" w:cs="Times New Roman"/>
          <w:b w:val="0"/>
          <w:bCs w:val="0"/>
          <w:color w:val="auto"/>
          <w:sz w:val="21"/>
          <w:szCs w:val="21"/>
          <w:highlight w:val="none"/>
          <w:shd w:val="clear" w:color="auto" w:fill="auto"/>
          <w:lang w:val="en-US" w:eastAsia="zh-CN"/>
        </w:rPr>
        <w:t>参</w:t>
      </w:r>
      <w:r>
        <w:rPr>
          <w:rFonts w:hint="eastAsia" w:ascii="Times New Roman" w:hAnsi="Times New Roman" w:eastAsia="宋体" w:cs="Times New Roman"/>
          <w:b w:val="0"/>
          <w:bCs w:val="0"/>
          <w:color w:val="auto"/>
          <w:sz w:val="21"/>
          <w:szCs w:val="21"/>
          <w:highlight w:val="none"/>
          <w:shd w:val="clear" w:color="auto" w:fill="auto"/>
          <w:lang w:val="en-US" w:eastAsia="zh-CN"/>
        </w:rPr>
        <w:t xml:space="preserve"> </w:t>
      </w:r>
      <w:r>
        <w:rPr>
          <w:rFonts w:hint="default" w:ascii="Times New Roman" w:hAnsi="Times New Roman" w:eastAsia="宋体" w:cs="Times New Roman"/>
          <w:b w:val="0"/>
          <w:bCs w:val="0"/>
          <w:color w:val="auto"/>
          <w:sz w:val="21"/>
          <w:szCs w:val="21"/>
          <w:highlight w:val="none"/>
          <w:shd w:val="clear" w:color="auto" w:fill="auto"/>
          <w:lang w:val="en-US" w:eastAsia="zh-CN"/>
        </w:rPr>
        <w:t>考</w:t>
      </w:r>
      <w:r>
        <w:rPr>
          <w:rFonts w:hint="eastAsia" w:ascii="Times New Roman" w:hAnsi="Times New Roman" w:eastAsia="宋体" w:cs="Times New Roman"/>
          <w:b w:val="0"/>
          <w:bCs w:val="0"/>
          <w:color w:val="auto"/>
          <w:sz w:val="21"/>
          <w:szCs w:val="21"/>
          <w:highlight w:val="none"/>
          <w:shd w:val="clear" w:color="auto" w:fill="auto"/>
          <w:lang w:val="en-US" w:eastAsia="zh-CN"/>
        </w:rPr>
        <w:t xml:space="preserve"> </w:t>
      </w:r>
      <w:r>
        <w:rPr>
          <w:rFonts w:hint="default" w:ascii="Times New Roman" w:hAnsi="Times New Roman" w:eastAsia="宋体" w:cs="Times New Roman"/>
          <w:b w:val="0"/>
          <w:bCs w:val="0"/>
          <w:color w:val="auto"/>
          <w:sz w:val="21"/>
          <w:szCs w:val="21"/>
          <w:highlight w:val="none"/>
          <w:shd w:val="clear" w:color="auto" w:fill="auto"/>
          <w:lang w:val="en-US" w:eastAsia="zh-CN"/>
        </w:rPr>
        <w:t>文</w:t>
      </w:r>
      <w:r>
        <w:rPr>
          <w:rFonts w:hint="eastAsia" w:ascii="Times New Roman" w:hAnsi="Times New Roman" w:eastAsia="宋体" w:cs="Times New Roman"/>
          <w:b w:val="0"/>
          <w:bCs w:val="0"/>
          <w:color w:val="auto"/>
          <w:sz w:val="21"/>
          <w:szCs w:val="21"/>
          <w:highlight w:val="none"/>
          <w:shd w:val="clear" w:color="auto" w:fill="auto"/>
          <w:lang w:val="en-US" w:eastAsia="zh-CN"/>
        </w:rPr>
        <w:t xml:space="preserve"> </w:t>
      </w:r>
      <w:r>
        <w:rPr>
          <w:rFonts w:hint="default" w:ascii="Times New Roman" w:hAnsi="Times New Roman" w:eastAsia="宋体" w:cs="Times New Roman"/>
          <w:b w:val="0"/>
          <w:bCs w:val="0"/>
          <w:color w:val="auto"/>
          <w:sz w:val="21"/>
          <w:szCs w:val="21"/>
          <w:highlight w:val="none"/>
          <w:shd w:val="clear" w:color="auto" w:fill="auto"/>
          <w:lang w:val="en-US" w:eastAsia="zh-CN"/>
        </w:rPr>
        <w:t>献</w:t>
      </w:r>
      <w:bookmarkEnd w:id="123"/>
    </w:p>
    <w:p w14:paraId="0A53AC15">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庞瑞康, 冯卓, 何列涛, 等. 脑缺血再灌注后神经细胞凋亡及针灸干预机制的研究进展</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世界中医药, 2023, 18(4): 576-582. </w:t>
      </w:r>
      <w:bookmarkEnd w:id="124"/>
    </w:p>
    <w:p w14:paraId="35042206">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唐春花, 郭露, 李琼, 等. 2022年全球卒中数据报告解读</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诊断学理论与实践, 2023, 22(3): 238-246. </w:t>
      </w:r>
      <w:bookmarkEnd w:id="125"/>
    </w:p>
    <w:p w14:paraId="04CF8D1C">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《中国脑卒中防治报告2021》编写组, 王陇德. 《中国脑卒中防治报告2021》概要</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中国脑血管病杂志, 2023, 20(11): 783-792. </w:t>
      </w:r>
      <w:bookmarkEnd w:id="126"/>
    </w:p>
    <w:p w14:paraId="51B879AC">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何逸康, 宋爱国, 赖健伟, 等. 基于镜像疗法的手部外骨骼机器人在脑卒中偏瘫手康复中的应用</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中国康复医学杂志, 2022, 37(12): 1616-1621. </w:t>
      </w:r>
      <w:bookmarkEnd w:id="127"/>
    </w:p>
    <w:p w14:paraId="3AE20A7F">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孙宁, 张通, 叶婷, 等. 体外冲击波对脑卒中患者手部肌张力增高的疗效观察</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神经损伤与功能重建, 2024, 19(2): 121-124. </w:t>
      </w:r>
      <w:bookmarkEnd w:id="128"/>
    </w:p>
    <w:p w14:paraId="296B4E69">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杨双月, 金星, 孟兆祥, 等. 低频重复经颅磁刺激辅助下虚拟情景互动机器人训练对脑卒中上肢功能的影响</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实用临床医药杂志, 2025, 29(1): 28-32. </w:t>
      </w:r>
      <w:bookmarkEnd w:id="129"/>
    </w:p>
    <w:p w14:paraId="3C2210CB">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丁晓晶, 王勇军, 姜云虎, 等. 等速肌力训练对脑卒中偏瘫患者上肢身体成分的影响</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中国康复理论与实践, 2022, 28(11): 1265-1269. </w:t>
      </w:r>
      <w:bookmarkEnd w:id="130"/>
    </w:p>
    <w:p w14:paraId="15DB5CDB">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张敏杰, 孟兆祥, 金星, 等. 对侧控制型功能性电刺激及其联合疗法在偏瘫康复中的研究进展</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实用临床医药杂志, 2024, 28(2): 114-118. </w:t>
      </w:r>
      <w:bookmarkEnd w:id="131"/>
    </w:p>
    <w:p w14:paraId="3B238CF1">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中华医学会神经病学分会, 中华医学会神经病学分会脑血管病学组. 中国各类主要脑血管病诊断要点2019</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中华神经科杂志, 2019, 52(9): 710-715. </w:t>
      </w:r>
      <w:bookmarkEnd w:id="132"/>
    </w:p>
    <w:p w14:paraId="04E50631">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Kim S Y, Kim Y M, Koo S W, et al. Effects of Therapist Intervention during Upper-Extremity Robotic Rehabilitation in Patients with Stroke</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Healthcare, 2023, 11(10): 1369-1379. </w:t>
      </w:r>
      <w:bookmarkEnd w:id="133"/>
    </w:p>
    <w:p w14:paraId="657F7948">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 xml:space="preserve">Zheng P, Shi Y, Qu H, et al. Effect of ultrasound-guided injection of botulinum toxin type A </w:t>
      </w:r>
      <w:r>
        <w:rPr>
          <w:rFonts w:hint="default" w:ascii="Times New Roman" w:hAnsi="Times New Roman" w:eastAsia="宋体" w:cs="Times New Roman"/>
          <w:color w:val="auto"/>
          <w:kern w:val="2"/>
          <w:sz w:val="21"/>
          <w:szCs w:val="21"/>
          <w:highlight w:val="none"/>
          <w:shd w:val="clear" w:color="auto" w:fill="auto"/>
          <w:lang w:val="en-US" w:eastAsia="zh-CN" w:bidi="ar"/>
        </w:rPr>
        <w:t>into</w:t>
      </w:r>
      <w:bookmarkEnd w:id="134"/>
      <w:r>
        <w:rPr>
          <w:rFonts w:hint="default" w:ascii="Times New Roman" w:hAnsi="Times New Roman" w:eastAsia="宋体" w:cs="Times New Roman"/>
          <w:color w:val="auto"/>
          <w:kern w:val="2"/>
          <w:sz w:val="21"/>
          <w:szCs w:val="21"/>
          <w:highlight w:val="none"/>
          <w:shd w:val="clear" w:color="auto" w:fill="auto"/>
          <w:lang w:val="en-US" w:eastAsia="zh-CN" w:bidi="ar"/>
        </w:rPr>
        <w:t xml:space="preserve"> shoulder joint cavity on shoulder pain in poststroke patients: study protocol for a randomized controlled trial</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Trials, 2024, 25(1): 848-853. </w:t>
      </w:r>
      <w:bookmarkEnd w:id="135"/>
    </w:p>
    <w:p w14:paraId="64F1C8E0">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0000FF"/>
          <w:kern w:val="2"/>
          <w:sz w:val="21"/>
          <w:szCs w:val="21"/>
          <w:highlight w:val="none"/>
          <w:shd w:val="clear" w:color="auto" w:fill="auto"/>
          <w:lang w:val="en-US" w:eastAsia="zh-CN" w:bidi="ar"/>
        </w:rPr>
      </w:pPr>
      <w:r>
        <w:rPr>
          <w:rFonts w:hint="default" w:ascii="Times New Roman" w:hAnsi="Times New Roman" w:eastAsia="宋体" w:cs="Times New Roman"/>
          <w:color w:val="0000FF"/>
          <w:kern w:val="2"/>
          <w:sz w:val="21"/>
          <w:szCs w:val="21"/>
          <w:highlight w:val="none"/>
          <w:shd w:val="clear" w:color="auto" w:fill="auto"/>
          <w:lang w:val="en-US" w:eastAsia="zh-CN" w:bidi="ar"/>
        </w:rPr>
        <w:t>刘胜锋, 陈云强. 不同强度改良强制性运动疗法对脑卒中患者上肢肌肉形态及表面肌电的影响</w:t>
      </w:r>
      <w:r>
        <w:rPr>
          <w:rFonts w:hint="eastAsia" w:ascii="Times New Roman" w:hAnsi="Times New Roman" w:eastAsia="宋体" w:cs="Times New Roman"/>
          <w:color w:val="0000FF"/>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0000FF"/>
          <w:kern w:val="2"/>
          <w:sz w:val="21"/>
          <w:szCs w:val="21"/>
          <w:highlight w:val="none"/>
          <w:shd w:val="clear" w:color="auto" w:fill="auto"/>
          <w:lang w:val="en-US" w:eastAsia="zh-CN" w:bidi="ar"/>
        </w:rPr>
        <w:t>中华脑血管病杂志</w:t>
      </w:r>
      <w:r>
        <w:rPr>
          <w:rFonts w:hint="eastAsia" w:ascii="Times New Roman" w:hAnsi="Times New Roman" w:eastAsia="宋体" w:cs="Times New Roman"/>
          <w:color w:val="0000FF"/>
          <w:kern w:val="2"/>
          <w:sz w:val="21"/>
          <w:szCs w:val="21"/>
          <w:highlight w:val="none"/>
          <w:shd w:val="clear" w:color="auto" w:fill="auto"/>
          <w:lang w:val="en-US" w:eastAsia="zh-CN" w:bidi="ar"/>
        </w:rPr>
        <w:t>(</w:t>
      </w:r>
      <w:r>
        <w:rPr>
          <w:rFonts w:hint="default" w:ascii="Times New Roman" w:hAnsi="Times New Roman" w:eastAsia="宋体" w:cs="Times New Roman"/>
          <w:color w:val="0000FF"/>
          <w:kern w:val="2"/>
          <w:sz w:val="21"/>
          <w:szCs w:val="21"/>
          <w:highlight w:val="none"/>
          <w:shd w:val="clear" w:color="auto" w:fill="auto"/>
          <w:lang w:val="en-US" w:eastAsia="zh-CN" w:bidi="ar"/>
        </w:rPr>
        <w:t>电子版）, 2024, 18(3):</w:t>
      </w:r>
      <w:r>
        <w:rPr>
          <w:rFonts w:hint="eastAsia" w:ascii="Times New Roman" w:hAnsi="Times New Roman" w:eastAsia="宋体" w:cs="Times New Roman"/>
          <w:color w:val="0000FF"/>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0000FF"/>
          <w:kern w:val="2"/>
          <w:sz w:val="21"/>
          <w:szCs w:val="21"/>
          <w:highlight w:val="none"/>
          <w:shd w:val="clear" w:color="auto" w:fill="auto"/>
          <w:lang w:val="en-US" w:eastAsia="zh-CN" w:bidi="ar"/>
        </w:rPr>
        <w:t>224-229.</w:t>
      </w:r>
      <w:bookmarkEnd w:id="136"/>
      <w:bookmarkEnd w:id="137"/>
      <w:bookmarkEnd w:id="138"/>
    </w:p>
    <w:p w14:paraId="2A4F1C5A">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李永义, 张义发, 徐秀芳, 等. rTMS联合肩前屈特定角度训练对脑卒中偏瘫患者上肢功能恢复的影响</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中南医学科学杂志, 2024, 52(5): 779-781. </w:t>
      </w:r>
      <w:bookmarkEnd w:id="139"/>
    </w:p>
    <w:p w14:paraId="77AF1F15">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李雪飞, 王伟伟, 汪道静, 等. 等速肌力训练康复对脑卒中偏瘫病人步行能力及免疫功能的影响</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中西医结合心脑血管病杂志, 2021, 19(17): 2998-3001. </w:t>
      </w:r>
      <w:bookmarkEnd w:id="140"/>
    </w:p>
    <w:p w14:paraId="2CA7EE3E">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徐奕鹏, 侯甜, 曲源, 等. 基于行走模式的单关节与双关节功能性电刺激对脑卒中患者下肢功能及脑部弥散张量成像的影响</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中国康复, 2023, 38(11): 664-669. </w:t>
      </w:r>
      <w:bookmarkEnd w:id="141"/>
    </w:p>
    <w:p w14:paraId="78EE044D">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赵青青, 刘先莹, 李红, 等. 脑卒中偏瘫患者患侧和健侧上肢关节的等速肌力特征研究</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中国康复医学杂志, 2023, 38(11): 1558-1565. </w:t>
      </w:r>
      <w:bookmarkEnd w:id="142"/>
    </w:p>
    <w:p w14:paraId="3B38A52B">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严文, 庄珣, 梁嘉妍, 等. 头针运动疗法干预脑卒中手功能障碍病人的等速肌力特征研究</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蚌埠医学院学报, 2022, 47(1): 55-58, 62. </w:t>
      </w:r>
      <w:bookmarkEnd w:id="143"/>
    </w:p>
    <w:p w14:paraId="2F6CD1A0">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周靓</w:t>
      </w:r>
      <w:r>
        <w:rPr>
          <w:rFonts w:hint="default" w:ascii="Times New Roman" w:hAnsi="Times New Roman" w:eastAsia="宋体" w:cs="Times New Roman"/>
          <w:color w:val="auto"/>
          <w:kern w:val="2"/>
          <w:sz w:val="21"/>
          <w:szCs w:val="21"/>
          <w:highlight w:val="none"/>
          <w:shd w:val="clear" w:color="auto" w:fill="auto"/>
          <w:lang w:val="en-US" w:eastAsia="zh-CN" w:bidi="ar"/>
        </w:rPr>
        <w:t>贇</w:t>
      </w:r>
      <w:bookmarkEnd w:id="144"/>
      <w:r>
        <w:rPr>
          <w:rFonts w:hint="default" w:ascii="Times New Roman" w:hAnsi="Times New Roman" w:eastAsia="宋体" w:cs="Times New Roman"/>
          <w:color w:val="auto"/>
          <w:kern w:val="2"/>
          <w:sz w:val="21"/>
          <w:szCs w:val="21"/>
          <w:highlight w:val="none"/>
          <w:shd w:val="clear" w:color="auto" w:fill="auto"/>
          <w:lang w:val="en-US" w:eastAsia="zh-CN" w:bidi="ar"/>
        </w:rPr>
        <w:t>, 曲冰, 张杰, 等. 基于等速肌力测试探究电针治疗老年膝骨关节炎对下肢肌力的影响研究</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老年医学与保健, 2024, 30(3): 840-845. </w:t>
      </w:r>
      <w:bookmarkEnd w:id="145"/>
    </w:p>
    <w:p w14:paraId="628C1DFC">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吴海霞, 林夏妃, 潘晶晶, 等. E-LINK训练联合等速肌力训练对脑卒中偏瘫患者上肢功能的影响</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中国老年学杂志, 2024, 44(5): 1102-1105. </w:t>
      </w:r>
      <w:bookmarkEnd w:id="146"/>
    </w:p>
    <w:p w14:paraId="2BDCC4A8">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廖晓琴, 陈璟, 林鸿缘, 等. 等速肌力训练对脑卒中偏瘫患者下肢运动功能影响的Meta分析</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心血管康复医学杂志, 2022, 31(4): 441-446. </w:t>
      </w:r>
      <w:bookmarkEnd w:id="147"/>
    </w:p>
    <w:p w14:paraId="2CC7D9F5">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赵青青, 马将, 李红, 等. 等速肌力训练在脑卒中偏瘫患者上肢康复中的应用研究进展</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中华物理医学与康复杂志, 2024, 46(8): 746-750.</w:t>
      </w:r>
      <w:bookmarkEnd w:id="148"/>
    </w:p>
    <w:p w14:paraId="09482BAF">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王丽娜, 林兰兰, 高远, 等. 等速肌力锻炼系统对膝关节前交叉韧带重建术后功能恢复的影响</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海南医学, 2023, 34(21): 3103-3107. </w:t>
      </w:r>
      <w:bookmarkEnd w:id="149"/>
    </w:p>
    <w:p w14:paraId="3518A428">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 xml:space="preserve">李爽, </w:t>
      </w:r>
      <w:r>
        <w:rPr>
          <w:rFonts w:hint="default" w:ascii="Times New Roman" w:hAnsi="Times New Roman" w:eastAsia="宋体" w:cs="Times New Roman"/>
          <w:color w:val="auto"/>
          <w:kern w:val="2"/>
          <w:sz w:val="21"/>
          <w:szCs w:val="21"/>
          <w:highlight w:val="none"/>
          <w:shd w:val="clear" w:color="auto" w:fill="auto"/>
          <w:lang w:val="en-US" w:eastAsia="zh-CN" w:bidi="ar"/>
        </w:rPr>
        <w:t>张黎明</w:t>
      </w:r>
      <w:bookmarkEnd w:id="150"/>
      <w:r>
        <w:rPr>
          <w:rFonts w:hint="default" w:ascii="Times New Roman" w:hAnsi="Times New Roman" w:eastAsia="宋体" w:cs="Times New Roman"/>
          <w:color w:val="auto"/>
          <w:kern w:val="2"/>
          <w:sz w:val="21"/>
          <w:szCs w:val="21"/>
          <w:highlight w:val="none"/>
          <w:shd w:val="clear" w:color="auto" w:fill="auto"/>
          <w:lang w:val="en-US" w:eastAsia="zh-CN" w:bidi="ar"/>
        </w:rPr>
        <w:t>, 徐晶, 等. 脑卒中后肌张力增高研究进展</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中国实用神经疾病杂志, 2023, 26(9): 1173-1179. </w:t>
      </w:r>
      <w:bookmarkEnd w:id="151"/>
    </w:p>
    <w:p w14:paraId="3E38E1A2">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Bhide D, Kapadia HJ, Yeole U, et al. Effects of dynamic scapular muscle exercises on grip strength in young adults</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Int J Acad Res Dev, 2018, 3(2): 289-295. </w:t>
      </w:r>
      <w:bookmarkEnd w:id="152"/>
      <w:bookmarkEnd w:id="153"/>
    </w:p>
    <w:p w14:paraId="339D86E5">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0000FF"/>
          <w:kern w:val="2"/>
          <w:sz w:val="21"/>
          <w:szCs w:val="21"/>
          <w:highlight w:val="none"/>
          <w:shd w:val="clear" w:color="auto" w:fill="auto"/>
          <w:lang w:val="en-US" w:eastAsia="zh-CN" w:bidi="ar"/>
        </w:rPr>
      </w:pPr>
      <w:r>
        <w:rPr>
          <w:rFonts w:hint="default" w:ascii="Times New Roman" w:hAnsi="Times New Roman" w:eastAsia="宋体" w:cs="Times New Roman"/>
          <w:color w:val="0000FF"/>
          <w:kern w:val="2"/>
          <w:sz w:val="21"/>
          <w:szCs w:val="21"/>
          <w:highlight w:val="none"/>
          <w:shd w:val="clear" w:color="auto" w:fill="auto"/>
          <w:lang w:val="en-US" w:eastAsia="zh-CN" w:bidi="ar"/>
        </w:rPr>
        <w:t>刘胜锋, 陈云强. 不同强度改良强制性运动疗法对脑卒中患者上肢肌肉形态及表面肌电的影响</w:t>
      </w:r>
      <w:r>
        <w:rPr>
          <w:rFonts w:hint="eastAsia" w:ascii="Times New Roman" w:hAnsi="Times New Roman" w:eastAsia="宋体" w:cs="Times New Roman"/>
          <w:color w:val="0000FF"/>
          <w:kern w:val="2"/>
          <w:sz w:val="21"/>
          <w:szCs w:val="21"/>
          <w:highlight w:val="none"/>
          <w:shd w:val="clear" w:color="auto" w:fill="auto"/>
          <w:lang w:val="en-US" w:eastAsia="zh-CN" w:bidi="ar"/>
        </w:rPr>
        <w:t xml:space="preserve"> [J</w:t>
      </w:r>
      <w:r>
        <w:rPr>
          <w:rFonts w:hint="eastAsia" w:ascii="Times New Roman" w:hAnsi="Times New Roman" w:cs="Times New Roman"/>
          <w:color w:val="0000FF"/>
          <w:kern w:val="2"/>
          <w:sz w:val="21"/>
          <w:szCs w:val="21"/>
          <w:highlight w:val="none"/>
          <w:shd w:val="clear" w:color="auto" w:fill="auto"/>
          <w:lang w:val="en-US" w:eastAsia="zh-CN" w:bidi="ar"/>
        </w:rPr>
        <w:t>/OL</w:t>
      </w:r>
      <w:r>
        <w:rPr>
          <w:rFonts w:hint="eastAsia" w:ascii="Times New Roman" w:hAnsi="Times New Roman" w:eastAsia="宋体" w:cs="Times New Roman"/>
          <w:color w:val="0000FF"/>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0000FF"/>
          <w:kern w:val="2"/>
          <w:sz w:val="21"/>
          <w:szCs w:val="21"/>
          <w:highlight w:val="none"/>
          <w:shd w:val="clear" w:color="auto" w:fill="auto"/>
          <w:lang w:val="en-US" w:eastAsia="zh-CN" w:bidi="ar"/>
        </w:rPr>
        <w:t>中华脑血管病杂志</w:t>
      </w:r>
      <w:r>
        <w:rPr>
          <w:rFonts w:hint="eastAsia" w:ascii="Times New Roman" w:hAnsi="Times New Roman" w:eastAsia="宋体" w:cs="Times New Roman"/>
          <w:color w:val="0000FF"/>
          <w:kern w:val="2"/>
          <w:sz w:val="21"/>
          <w:szCs w:val="21"/>
          <w:highlight w:val="none"/>
          <w:shd w:val="clear" w:color="auto" w:fill="auto"/>
          <w:lang w:val="en-US" w:eastAsia="zh-CN" w:bidi="ar"/>
        </w:rPr>
        <w:t>(</w:t>
      </w:r>
      <w:r>
        <w:rPr>
          <w:rFonts w:hint="default" w:ascii="Times New Roman" w:hAnsi="Times New Roman" w:eastAsia="宋体" w:cs="Times New Roman"/>
          <w:color w:val="0000FF"/>
          <w:kern w:val="2"/>
          <w:sz w:val="21"/>
          <w:szCs w:val="21"/>
          <w:highlight w:val="none"/>
          <w:shd w:val="clear" w:color="auto" w:fill="auto"/>
          <w:lang w:val="en-US" w:eastAsia="zh-CN" w:bidi="ar"/>
        </w:rPr>
        <w:t>电子版）, 2024, 18(3):</w:t>
      </w:r>
      <w:r>
        <w:rPr>
          <w:rFonts w:hint="eastAsia" w:ascii="Times New Roman" w:hAnsi="Times New Roman" w:eastAsia="宋体" w:cs="Times New Roman"/>
          <w:color w:val="0000FF"/>
          <w:kern w:val="2"/>
          <w:sz w:val="21"/>
          <w:szCs w:val="21"/>
          <w:highlight w:val="none"/>
          <w:shd w:val="clear" w:color="auto" w:fill="auto"/>
          <w:lang w:val="en-US" w:eastAsia="zh-CN" w:bidi="ar"/>
        </w:rPr>
        <w:t xml:space="preserve"> </w:t>
      </w:r>
      <w:r>
        <w:rPr>
          <w:rFonts w:hint="default" w:ascii="Times New Roman" w:hAnsi="Times New Roman" w:eastAsia="宋体" w:cs="Times New Roman"/>
          <w:color w:val="0000FF"/>
          <w:kern w:val="2"/>
          <w:sz w:val="21"/>
          <w:szCs w:val="21"/>
          <w:highlight w:val="none"/>
          <w:shd w:val="clear" w:color="auto" w:fill="auto"/>
          <w:lang w:val="en-US" w:eastAsia="zh-CN" w:bidi="ar"/>
        </w:rPr>
        <w:t>224-229.</w:t>
      </w:r>
      <w:bookmarkEnd w:id="154"/>
      <w:bookmarkEnd w:id="155"/>
      <w:bookmarkEnd w:id="156"/>
    </w:p>
    <w:p w14:paraId="5E1E55B6">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Musselmank E, Mayhew M, Somal H, et al. Physical and occupational therapists' learning needs and preferences for education on functional electrical stimulation: A qualitative descriptive study</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 xml:space="preserve">Artificial Organs, 2024, 48(9): 1018-1021. </w:t>
      </w:r>
      <w:bookmarkEnd w:id="157"/>
    </w:p>
    <w:p w14:paraId="7968BD79">
      <w:pPr>
        <w:pStyle w:val="7"/>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Chars="0"/>
        <w:jc w:val="left"/>
        <w:textAlignment w:val="auto"/>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default" w:ascii="Times New Roman" w:hAnsi="Times New Roman" w:eastAsia="宋体" w:cs="Times New Roman"/>
          <w:color w:val="auto"/>
          <w:kern w:val="2"/>
          <w:sz w:val="21"/>
          <w:szCs w:val="21"/>
          <w:highlight w:val="none"/>
          <w:shd w:val="clear" w:color="auto" w:fill="auto"/>
          <w:lang w:val="en-US" w:eastAsia="zh-CN" w:bidi="ar"/>
        </w:rPr>
        <w:t>van der Scheer JW, Goosey-Tolfrey VL, Valentino SE, et al. Functional electrical stimulation cycling exercise after spinal cord injury: a systematic review of health and fitness-related outcomes</w:t>
      </w:r>
      <w:r>
        <w:rPr>
          <w:rFonts w:hint="eastAsia" w:ascii="Times New Roman" w:hAnsi="Times New Roman" w:eastAsia="宋体" w:cs="Times New Roman"/>
          <w:color w:val="auto"/>
          <w:kern w:val="2"/>
          <w:sz w:val="21"/>
          <w:szCs w:val="21"/>
          <w:highlight w:val="none"/>
          <w:shd w:val="clear" w:color="auto" w:fill="auto"/>
          <w:lang w:val="en-US" w:eastAsia="zh-CN" w:bidi="ar"/>
        </w:rPr>
        <w:t xml:space="preserve"> [J]. </w:t>
      </w:r>
      <w:r>
        <w:rPr>
          <w:rFonts w:hint="default" w:ascii="Times New Roman" w:hAnsi="Times New Roman" w:eastAsia="宋体" w:cs="Times New Roman"/>
          <w:color w:val="auto"/>
          <w:kern w:val="2"/>
          <w:sz w:val="21"/>
          <w:szCs w:val="21"/>
          <w:highlight w:val="none"/>
          <w:shd w:val="clear" w:color="auto" w:fill="auto"/>
          <w:lang w:val="en-US" w:eastAsia="zh-CN" w:bidi="ar"/>
        </w:rPr>
        <w:t>J Neuroeng Rehabil, 2021, 18(1): 99.</w:t>
      </w:r>
      <w:bookmarkEnd w:id="158"/>
      <w:bookmarkEnd w:id="159"/>
    </w:p>
    <w:sectPr>
      <w:endnotePr>
        <w:numFmt w:val="decimal"/>
      </w:endnotePr>
      <w:pgSz w:w="11906" w:h="16838"/>
      <w:pgMar w:top="1440" w:right="1080" w:bottom="1440" w:left="1080"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LF-3-0-1719499514 + ZDRDvq-388">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LF-32769-4-1475888907 + ZDRDvq">
    <w:altName w:val="Segoe Print"/>
    <w:panose1 w:val="00000000000000000000"/>
    <w:charset w:val="00"/>
    <w:family w:val="auto"/>
    <w:pitch w:val="default"/>
    <w:sig w:usb0="00000000" w:usb1="00000000" w:usb2="00000000" w:usb3="00000000" w:csb0="00040001" w:csb1="00000000"/>
  </w:font>
  <w:font w:name="DLF-32771-0-1975790678 + ZDRDvq">
    <w:altName w:val="Segoe Print"/>
    <w:panose1 w:val="00000000000000000000"/>
    <w:charset w:val="00"/>
    <w:family w:val="auto"/>
    <w:pitch w:val="default"/>
    <w:sig w:usb0="00000000" w:usb1="00000000" w:usb2="00000000" w:usb3="00000000" w:csb0="00040001" w:csb1="00000000"/>
  </w:font>
  <w:font w:name="DLF-32770-0-735518461 + ZDRDvs-">
    <w:altName w:val="Segoe Print"/>
    <w:panose1 w:val="00000000000000000000"/>
    <w:charset w:val="00"/>
    <w:family w:val="auto"/>
    <w:pitch w:val="default"/>
    <w:sig w:usb0="00000000" w:usb1="00000000" w:usb2="00000000" w:usb3="00000000" w:csb0="00040001" w:csb1="00000000"/>
  </w:font>
  <w:font w:name="DLF-32771-0-1876517024 + ZDRDvs">
    <w:altName w:val="Segoe Print"/>
    <w:panose1 w:val="00000000000000000000"/>
    <w:charset w:val="00"/>
    <w:family w:val="auto"/>
    <w:pitch w:val="default"/>
    <w:sig w:usb0="00000000" w:usb1="00000000" w:usb2="00000000" w:usb3="00000000" w:csb0="00040001" w:csb1="00000000"/>
  </w:font>
  <w:font w:name="方正书宋_GBK">
    <w:altName w:val="微软雅黑"/>
    <w:panose1 w:val="00000000000000000000"/>
    <w:charset w:val="86"/>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AD2676"/>
    <w:multiLevelType w:val="singleLevel"/>
    <w:tmpl w:val="23AD2676"/>
    <w:lvl w:ilvl="0" w:tentative="0">
      <w:start w:val="6"/>
      <w:numFmt w:val="chineseCounting"/>
      <w:suff w:val="nothing"/>
      <w:lvlText w:val="%1、"/>
      <w:lvlJc w:val="left"/>
      <w:rPr>
        <w:rFonts w:hint="eastAsia"/>
      </w:rPr>
    </w:lvl>
  </w:abstractNum>
  <w:abstractNum w:abstractNumId="1">
    <w:nsid w:val="291C61D6"/>
    <w:multiLevelType w:val="singleLevel"/>
    <w:tmpl w:val="291C61D6"/>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numFmt w:val="decimal"/>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5M2Q0MDEzZDJiYzcxNDY2YzNjZDQwN2JmODdmOTgifQ=="/>
  </w:docVars>
  <w:rsids>
    <w:rsidRoot w:val="221852F6"/>
    <w:rsid w:val="00072C34"/>
    <w:rsid w:val="005D61E2"/>
    <w:rsid w:val="00854DE8"/>
    <w:rsid w:val="009749DE"/>
    <w:rsid w:val="00A66EFC"/>
    <w:rsid w:val="00DB5B4B"/>
    <w:rsid w:val="01645360"/>
    <w:rsid w:val="02901FD1"/>
    <w:rsid w:val="02AE4B3F"/>
    <w:rsid w:val="02C941D1"/>
    <w:rsid w:val="02E37135"/>
    <w:rsid w:val="02EB504E"/>
    <w:rsid w:val="039C28DE"/>
    <w:rsid w:val="039E11BA"/>
    <w:rsid w:val="03AB5B02"/>
    <w:rsid w:val="040F3B3E"/>
    <w:rsid w:val="050E411D"/>
    <w:rsid w:val="05806BB5"/>
    <w:rsid w:val="058910A7"/>
    <w:rsid w:val="05A83980"/>
    <w:rsid w:val="063962D2"/>
    <w:rsid w:val="06420522"/>
    <w:rsid w:val="066E7569"/>
    <w:rsid w:val="06E822A2"/>
    <w:rsid w:val="072D159F"/>
    <w:rsid w:val="079C3C62"/>
    <w:rsid w:val="07B90CB8"/>
    <w:rsid w:val="07E05717"/>
    <w:rsid w:val="087921F6"/>
    <w:rsid w:val="08824959"/>
    <w:rsid w:val="0889068B"/>
    <w:rsid w:val="08D31906"/>
    <w:rsid w:val="091518C3"/>
    <w:rsid w:val="091D7025"/>
    <w:rsid w:val="092108C3"/>
    <w:rsid w:val="09B63701"/>
    <w:rsid w:val="09F935EE"/>
    <w:rsid w:val="0A3E094C"/>
    <w:rsid w:val="0A7165D0"/>
    <w:rsid w:val="0AEE3E60"/>
    <w:rsid w:val="0AF40FB0"/>
    <w:rsid w:val="0B3A3EBE"/>
    <w:rsid w:val="0B797DE0"/>
    <w:rsid w:val="0B9335CE"/>
    <w:rsid w:val="0BA96406"/>
    <w:rsid w:val="0BE4681D"/>
    <w:rsid w:val="0D1E0724"/>
    <w:rsid w:val="0E4D3F08"/>
    <w:rsid w:val="0E8327C4"/>
    <w:rsid w:val="0EBA2789"/>
    <w:rsid w:val="0FD974B5"/>
    <w:rsid w:val="118E0AC0"/>
    <w:rsid w:val="11C84C12"/>
    <w:rsid w:val="1222745A"/>
    <w:rsid w:val="1232769D"/>
    <w:rsid w:val="13A75E69"/>
    <w:rsid w:val="13B71DEC"/>
    <w:rsid w:val="13D90896"/>
    <w:rsid w:val="14587163"/>
    <w:rsid w:val="14DC1B42"/>
    <w:rsid w:val="153B4989"/>
    <w:rsid w:val="15BE374F"/>
    <w:rsid w:val="16341CFD"/>
    <w:rsid w:val="16BE59A3"/>
    <w:rsid w:val="183028D1"/>
    <w:rsid w:val="18410316"/>
    <w:rsid w:val="18627DED"/>
    <w:rsid w:val="188B4EA3"/>
    <w:rsid w:val="18C70075"/>
    <w:rsid w:val="19033D8A"/>
    <w:rsid w:val="1988673C"/>
    <w:rsid w:val="198F7ACB"/>
    <w:rsid w:val="1A43009A"/>
    <w:rsid w:val="1A911621"/>
    <w:rsid w:val="1AEB2836"/>
    <w:rsid w:val="1AFC2F3E"/>
    <w:rsid w:val="1B5543FC"/>
    <w:rsid w:val="1CB23F90"/>
    <w:rsid w:val="1CC27437"/>
    <w:rsid w:val="1D0B56BA"/>
    <w:rsid w:val="1D1F19CC"/>
    <w:rsid w:val="1D6D5BC0"/>
    <w:rsid w:val="1DCB61B1"/>
    <w:rsid w:val="1E0A1DB2"/>
    <w:rsid w:val="1E3D5D47"/>
    <w:rsid w:val="1F066139"/>
    <w:rsid w:val="1F42495E"/>
    <w:rsid w:val="1F9502EA"/>
    <w:rsid w:val="201C12BD"/>
    <w:rsid w:val="202E324C"/>
    <w:rsid w:val="2039684F"/>
    <w:rsid w:val="20790A7F"/>
    <w:rsid w:val="20B63B8F"/>
    <w:rsid w:val="20EC135F"/>
    <w:rsid w:val="2116094D"/>
    <w:rsid w:val="21527DEB"/>
    <w:rsid w:val="215313DE"/>
    <w:rsid w:val="21A5781C"/>
    <w:rsid w:val="21B604DE"/>
    <w:rsid w:val="221852F6"/>
    <w:rsid w:val="22525B39"/>
    <w:rsid w:val="2262005A"/>
    <w:rsid w:val="22F45DB1"/>
    <w:rsid w:val="23066402"/>
    <w:rsid w:val="242F1AA1"/>
    <w:rsid w:val="25300D6B"/>
    <w:rsid w:val="255F47F5"/>
    <w:rsid w:val="25AC53DC"/>
    <w:rsid w:val="25DC5E46"/>
    <w:rsid w:val="25DF1492"/>
    <w:rsid w:val="26306192"/>
    <w:rsid w:val="2681079B"/>
    <w:rsid w:val="26D37654"/>
    <w:rsid w:val="26EE67D3"/>
    <w:rsid w:val="286023B9"/>
    <w:rsid w:val="28A64A7E"/>
    <w:rsid w:val="290E167D"/>
    <w:rsid w:val="2984482A"/>
    <w:rsid w:val="29C966E1"/>
    <w:rsid w:val="29CE5ED4"/>
    <w:rsid w:val="2AA720F7"/>
    <w:rsid w:val="2AC90530"/>
    <w:rsid w:val="2ACD3FAF"/>
    <w:rsid w:val="2D7A7BAB"/>
    <w:rsid w:val="2DB244BE"/>
    <w:rsid w:val="2DCC67A0"/>
    <w:rsid w:val="2DE735DA"/>
    <w:rsid w:val="2DEE09C8"/>
    <w:rsid w:val="2E920B35"/>
    <w:rsid w:val="2E9224F2"/>
    <w:rsid w:val="2EA43B0A"/>
    <w:rsid w:val="2EFE568C"/>
    <w:rsid w:val="2F0D7070"/>
    <w:rsid w:val="2F631386"/>
    <w:rsid w:val="2F850F97"/>
    <w:rsid w:val="2F8C1E97"/>
    <w:rsid w:val="30437672"/>
    <w:rsid w:val="305F38FB"/>
    <w:rsid w:val="30986D57"/>
    <w:rsid w:val="30F25C9B"/>
    <w:rsid w:val="30FC55EE"/>
    <w:rsid w:val="31AF440F"/>
    <w:rsid w:val="31D64091"/>
    <w:rsid w:val="32655415"/>
    <w:rsid w:val="32DE6D45"/>
    <w:rsid w:val="33AB6E58"/>
    <w:rsid w:val="33DA5A8E"/>
    <w:rsid w:val="347B5013"/>
    <w:rsid w:val="34A00986"/>
    <w:rsid w:val="34B34216"/>
    <w:rsid w:val="353D7F83"/>
    <w:rsid w:val="3569702C"/>
    <w:rsid w:val="357C4F4F"/>
    <w:rsid w:val="35C93102"/>
    <w:rsid w:val="35E328D9"/>
    <w:rsid w:val="36527A5E"/>
    <w:rsid w:val="36DB7A54"/>
    <w:rsid w:val="37F30DCD"/>
    <w:rsid w:val="380C7AD8"/>
    <w:rsid w:val="38286C4A"/>
    <w:rsid w:val="387737AC"/>
    <w:rsid w:val="3894435E"/>
    <w:rsid w:val="38F82AA0"/>
    <w:rsid w:val="38F86C78"/>
    <w:rsid w:val="3925145A"/>
    <w:rsid w:val="394C2204"/>
    <w:rsid w:val="39A544E6"/>
    <w:rsid w:val="39CD762D"/>
    <w:rsid w:val="3AC32CD9"/>
    <w:rsid w:val="3ACC6031"/>
    <w:rsid w:val="3AEE244B"/>
    <w:rsid w:val="3B245E6D"/>
    <w:rsid w:val="3B5129DA"/>
    <w:rsid w:val="3B585319"/>
    <w:rsid w:val="3B7F0E5A"/>
    <w:rsid w:val="3BE97328"/>
    <w:rsid w:val="3C0B0DDB"/>
    <w:rsid w:val="3D5D4F07"/>
    <w:rsid w:val="3DD376D7"/>
    <w:rsid w:val="3E834C59"/>
    <w:rsid w:val="3E9E4083"/>
    <w:rsid w:val="3EE6343A"/>
    <w:rsid w:val="3F334946"/>
    <w:rsid w:val="3F35264A"/>
    <w:rsid w:val="3F534BB9"/>
    <w:rsid w:val="3F7B1DD4"/>
    <w:rsid w:val="3F917849"/>
    <w:rsid w:val="3FD3663A"/>
    <w:rsid w:val="40AD4AF8"/>
    <w:rsid w:val="40AF442B"/>
    <w:rsid w:val="40F956A6"/>
    <w:rsid w:val="412D5350"/>
    <w:rsid w:val="41AA4BF2"/>
    <w:rsid w:val="41B102CD"/>
    <w:rsid w:val="420E5181"/>
    <w:rsid w:val="428572F3"/>
    <w:rsid w:val="42DC702D"/>
    <w:rsid w:val="434B0829"/>
    <w:rsid w:val="43C5799E"/>
    <w:rsid w:val="43D67481"/>
    <w:rsid w:val="440A7BCA"/>
    <w:rsid w:val="440B5E1C"/>
    <w:rsid w:val="44473673"/>
    <w:rsid w:val="449776B0"/>
    <w:rsid w:val="44DA759D"/>
    <w:rsid w:val="45044742"/>
    <w:rsid w:val="456C034C"/>
    <w:rsid w:val="458019B5"/>
    <w:rsid w:val="45831D06"/>
    <w:rsid w:val="45FC3543"/>
    <w:rsid w:val="469B0FAE"/>
    <w:rsid w:val="46A46155"/>
    <w:rsid w:val="46A923A1"/>
    <w:rsid w:val="46AE783B"/>
    <w:rsid w:val="47D50081"/>
    <w:rsid w:val="487675DC"/>
    <w:rsid w:val="48BF2D31"/>
    <w:rsid w:val="48CC544E"/>
    <w:rsid w:val="491C18AF"/>
    <w:rsid w:val="4A04387A"/>
    <w:rsid w:val="4AA87194"/>
    <w:rsid w:val="4AD12063"/>
    <w:rsid w:val="4B533C05"/>
    <w:rsid w:val="4BC43CA3"/>
    <w:rsid w:val="4C177328"/>
    <w:rsid w:val="4C806C7C"/>
    <w:rsid w:val="4CAA41CE"/>
    <w:rsid w:val="4CBF4D4A"/>
    <w:rsid w:val="4D01600E"/>
    <w:rsid w:val="4D8507BC"/>
    <w:rsid w:val="4DA93FB0"/>
    <w:rsid w:val="4DEA6AA2"/>
    <w:rsid w:val="4DED6EE6"/>
    <w:rsid w:val="4E281F2E"/>
    <w:rsid w:val="4E733164"/>
    <w:rsid w:val="509B15BF"/>
    <w:rsid w:val="50C07F8E"/>
    <w:rsid w:val="513C480D"/>
    <w:rsid w:val="513E0EB3"/>
    <w:rsid w:val="51AA6D42"/>
    <w:rsid w:val="51FC0359"/>
    <w:rsid w:val="520B6FE7"/>
    <w:rsid w:val="52132340"/>
    <w:rsid w:val="521C19ED"/>
    <w:rsid w:val="529C61B6"/>
    <w:rsid w:val="53AE7C15"/>
    <w:rsid w:val="543755E9"/>
    <w:rsid w:val="545D5AF4"/>
    <w:rsid w:val="54DB7F14"/>
    <w:rsid w:val="55004DFD"/>
    <w:rsid w:val="5528288E"/>
    <w:rsid w:val="553E5415"/>
    <w:rsid w:val="55F63167"/>
    <w:rsid w:val="56262642"/>
    <w:rsid w:val="566273F2"/>
    <w:rsid w:val="578515EA"/>
    <w:rsid w:val="58E56AAA"/>
    <w:rsid w:val="59084281"/>
    <w:rsid w:val="59F54E87"/>
    <w:rsid w:val="59FB5B93"/>
    <w:rsid w:val="5A957D96"/>
    <w:rsid w:val="5AB17966"/>
    <w:rsid w:val="5B1C0A94"/>
    <w:rsid w:val="5B51296F"/>
    <w:rsid w:val="5B743F39"/>
    <w:rsid w:val="5B955D77"/>
    <w:rsid w:val="5B961EDB"/>
    <w:rsid w:val="5BA51125"/>
    <w:rsid w:val="5BC621D1"/>
    <w:rsid w:val="5BED3C02"/>
    <w:rsid w:val="5D0B433F"/>
    <w:rsid w:val="5D1E0517"/>
    <w:rsid w:val="5D8F6D1E"/>
    <w:rsid w:val="5DF6515E"/>
    <w:rsid w:val="5E320A7F"/>
    <w:rsid w:val="5E7459E5"/>
    <w:rsid w:val="5EB400EF"/>
    <w:rsid w:val="5ED370DF"/>
    <w:rsid w:val="5ED47A24"/>
    <w:rsid w:val="5F993E84"/>
    <w:rsid w:val="5FA755B8"/>
    <w:rsid w:val="6028345A"/>
    <w:rsid w:val="60946ADC"/>
    <w:rsid w:val="60F65306"/>
    <w:rsid w:val="62FA6315"/>
    <w:rsid w:val="63B53796"/>
    <w:rsid w:val="63DF02D4"/>
    <w:rsid w:val="63E35483"/>
    <w:rsid w:val="64841050"/>
    <w:rsid w:val="64AE26C6"/>
    <w:rsid w:val="64EE4C72"/>
    <w:rsid w:val="65470BED"/>
    <w:rsid w:val="65601136"/>
    <w:rsid w:val="656071F2"/>
    <w:rsid w:val="65EE272A"/>
    <w:rsid w:val="66331334"/>
    <w:rsid w:val="669839B8"/>
    <w:rsid w:val="66E86EAD"/>
    <w:rsid w:val="670267B3"/>
    <w:rsid w:val="67401089"/>
    <w:rsid w:val="67633F3B"/>
    <w:rsid w:val="67F462E4"/>
    <w:rsid w:val="688C3C05"/>
    <w:rsid w:val="68F55EA4"/>
    <w:rsid w:val="695142F3"/>
    <w:rsid w:val="699E17DC"/>
    <w:rsid w:val="69DA7573"/>
    <w:rsid w:val="69EC0EDF"/>
    <w:rsid w:val="6A3D5D54"/>
    <w:rsid w:val="6ADC5C63"/>
    <w:rsid w:val="6B6A2B79"/>
    <w:rsid w:val="6BA240C1"/>
    <w:rsid w:val="6BA53BB1"/>
    <w:rsid w:val="6BA936A1"/>
    <w:rsid w:val="6C1A634D"/>
    <w:rsid w:val="6C467142"/>
    <w:rsid w:val="6CA102C3"/>
    <w:rsid w:val="6CC83B82"/>
    <w:rsid w:val="6CDD7929"/>
    <w:rsid w:val="6D45564C"/>
    <w:rsid w:val="6D57712D"/>
    <w:rsid w:val="6D8C0941"/>
    <w:rsid w:val="6EBD0164"/>
    <w:rsid w:val="6EC95E08"/>
    <w:rsid w:val="6F0926A9"/>
    <w:rsid w:val="6F5816F4"/>
    <w:rsid w:val="6F795A80"/>
    <w:rsid w:val="6FAF3250"/>
    <w:rsid w:val="6FD8191A"/>
    <w:rsid w:val="70194B6E"/>
    <w:rsid w:val="701E3F32"/>
    <w:rsid w:val="7050397C"/>
    <w:rsid w:val="70662C38"/>
    <w:rsid w:val="709973E5"/>
    <w:rsid w:val="70F73101"/>
    <w:rsid w:val="71215B47"/>
    <w:rsid w:val="722F6087"/>
    <w:rsid w:val="72CA465D"/>
    <w:rsid w:val="72D83F98"/>
    <w:rsid w:val="73200C10"/>
    <w:rsid w:val="73C27AB3"/>
    <w:rsid w:val="740D19B0"/>
    <w:rsid w:val="74237EDF"/>
    <w:rsid w:val="74BE4CE2"/>
    <w:rsid w:val="74D06143"/>
    <w:rsid w:val="754730F9"/>
    <w:rsid w:val="75AB270C"/>
    <w:rsid w:val="761B33ED"/>
    <w:rsid w:val="762C30A3"/>
    <w:rsid w:val="76B47C85"/>
    <w:rsid w:val="77392040"/>
    <w:rsid w:val="774001A2"/>
    <w:rsid w:val="77901426"/>
    <w:rsid w:val="780B3D3D"/>
    <w:rsid w:val="783764D9"/>
    <w:rsid w:val="787E7C64"/>
    <w:rsid w:val="792425B9"/>
    <w:rsid w:val="793965E7"/>
    <w:rsid w:val="796432FD"/>
    <w:rsid w:val="79D23F84"/>
    <w:rsid w:val="7B6B6BAA"/>
    <w:rsid w:val="7C1E3C37"/>
    <w:rsid w:val="7C947A56"/>
    <w:rsid w:val="7D6C2781"/>
    <w:rsid w:val="7D797F41"/>
    <w:rsid w:val="7DDA3B8E"/>
    <w:rsid w:val="7E10135E"/>
    <w:rsid w:val="7E21356B"/>
    <w:rsid w:val="7EE54C14"/>
    <w:rsid w:val="7EF667A6"/>
    <w:rsid w:val="7F107805"/>
    <w:rsid w:val="7F7973D7"/>
    <w:rsid w:val="7FF353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toa heading"/>
    <w:basedOn w:val="1"/>
    <w:next w:val="1"/>
    <w:qFormat/>
    <w:uiPriority w:val="0"/>
    <w:pPr>
      <w:spacing w:before="120" w:beforeLines="0" w:beforeAutospacing="0"/>
    </w:pPr>
    <w:rPr>
      <w:rFonts w:ascii="Arial" w:hAnsi="Arial"/>
      <w:sz w:val="24"/>
    </w:rPr>
  </w:style>
  <w:style w:type="paragraph" w:styleId="5">
    <w:name w:val="annotation text"/>
    <w:basedOn w:val="1"/>
    <w:unhideWhenUsed/>
    <w:qFormat/>
    <w:uiPriority w:val="99"/>
  </w:style>
  <w:style w:type="paragraph" w:styleId="6">
    <w:name w:val="Body Text"/>
    <w:basedOn w:val="1"/>
    <w:uiPriority w:val="0"/>
    <w:pPr>
      <w:spacing w:after="120" w:afterLines="0" w:afterAutospacing="0"/>
    </w:pPr>
  </w:style>
  <w:style w:type="paragraph" w:styleId="7">
    <w:name w:val="endnote text"/>
    <w:basedOn w:val="1"/>
    <w:qFormat/>
    <w:uiPriority w:val="0"/>
    <w:pPr>
      <w:snapToGrid w:val="0"/>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endnote reference"/>
    <w:basedOn w:val="13"/>
    <w:qFormat/>
    <w:uiPriority w:val="0"/>
    <w:rPr>
      <w:vertAlign w:val="superscript"/>
    </w:rPr>
  </w:style>
  <w:style w:type="character" w:styleId="16">
    <w:name w:val="Hyperlink"/>
    <w:basedOn w:val="13"/>
    <w:uiPriority w:val="0"/>
    <w:rPr>
      <w:color w:val="0000FF"/>
      <w:u w:val="single"/>
    </w:rPr>
  </w:style>
  <w:style w:type="character" w:customStyle="1" w:styleId="17">
    <w:name w:val="fontstyle01"/>
    <w:basedOn w:val="13"/>
    <w:qFormat/>
    <w:uiPriority w:val="0"/>
    <w:rPr>
      <w:rFonts w:ascii="宋体" w:hAnsi="宋体" w:eastAsia="宋体" w:cs="宋体"/>
      <w:color w:val="242021"/>
      <w:sz w:val="20"/>
      <w:szCs w:val="20"/>
    </w:rPr>
  </w:style>
  <w:style w:type="character" w:customStyle="1" w:styleId="18">
    <w:name w:val="fontstyle21"/>
    <w:basedOn w:val="13"/>
    <w:qFormat/>
    <w:uiPriority w:val="0"/>
    <w:rPr>
      <w:rFonts w:ascii="DLF-3-0-1719499514 + ZDRDvq-388" w:hAnsi="DLF-3-0-1719499514 + ZDRDvq-388" w:eastAsia="DLF-3-0-1719499514 + ZDRDvq-388" w:cs="DLF-3-0-1719499514 + ZDRDvq-388"/>
      <w:color w:val="242021"/>
      <w:sz w:val="22"/>
      <w:szCs w:val="22"/>
    </w:rPr>
  </w:style>
  <w:style w:type="character" w:customStyle="1" w:styleId="19">
    <w:name w:val="fontstyle31"/>
    <w:basedOn w:val="13"/>
    <w:qFormat/>
    <w:uiPriority w:val="0"/>
    <w:rPr>
      <w:rFonts w:ascii="DLF-32769-4-1475888907 + ZDRDvq" w:hAnsi="DLF-32769-4-1475888907 + ZDRDvq" w:eastAsia="DLF-32769-4-1475888907 + ZDRDvq" w:cs="DLF-32769-4-1475888907 + ZDRDvq"/>
      <w:color w:val="242021"/>
      <w:sz w:val="20"/>
      <w:szCs w:val="20"/>
    </w:rPr>
  </w:style>
  <w:style w:type="character" w:customStyle="1" w:styleId="20">
    <w:name w:val="fontstyle41"/>
    <w:basedOn w:val="13"/>
    <w:qFormat/>
    <w:uiPriority w:val="0"/>
    <w:rPr>
      <w:rFonts w:ascii="DLF-32771-0-1975790678 + ZDRDvq" w:hAnsi="DLF-32771-0-1975790678 + ZDRDvq" w:eastAsia="DLF-32771-0-1975790678 + ZDRDvq" w:cs="DLF-32771-0-1975790678 + ZDRDvq"/>
      <w:color w:val="242021"/>
      <w:sz w:val="22"/>
      <w:szCs w:val="22"/>
    </w:rPr>
  </w:style>
  <w:style w:type="character" w:customStyle="1" w:styleId="21">
    <w:name w:val="fontstyle11"/>
    <w:basedOn w:val="13"/>
    <w:qFormat/>
    <w:uiPriority w:val="0"/>
    <w:rPr>
      <w:rFonts w:ascii="DLF-32770-0-735518461 + ZDRDvs-" w:hAnsi="DLF-32770-0-735518461 + ZDRDvs-" w:eastAsia="DLF-32770-0-735518461 + ZDRDvs-" w:cs="DLF-32770-0-735518461 + ZDRDvs-"/>
      <w:color w:val="242021"/>
      <w:sz w:val="22"/>
      <w:szCs w:val="22"/>
    </w:rPr>
  </w:style>
  <w:style w:type="character" w:customStyle="1" w:styleId="22">
    <w:name w:val="fontstyle51"/>
    <w:basedOn w:val="13"/>
    <w:qFormat/>
    <w:uiPriority w:val="0"/>
    <w:rPr>
      <w:rFonts w:ascii="DLF-32771-0-1876517024 + ZDRDvs" w:hAnsi="DLF-32771-0-1876517024 + ZDRDvs" w:eastAsia="DLF-32771-0-1876517024 + ZDRDvs" w:cs="DLF-32771-0-1876517024 + ZDRDvs"/>
      <w:color w:val="242021"/>
      <w:sz w:val="22"/>
      <w:szCs w:val="22"/>
    </w:rPr>
  </w:style>
  <w:style w:type="paragraph" w:customStyle="1" w:styleId="23">
    <w:name w:val="14英文摘要"/>
    <w:basedOn w:val="24"/>
    <w:qFormat/>
    <w:uiPriority w:val="0"/>
    <w:pPr>
      <w:spacing w:before="105"/>
    </w:pPr>
    <w:rPr>
      <w:rFonts w:hint="default" w:ascii="宋体" w:hAnsi="宋体" w:eastAsia="宋体"/>
      <w:sz w:val="18"/>
      <w:szCs w:val="18"/>
    </w:rPr>
  </w:style>
  <w:style w:type="paragraph" w:customStyle="1" w:styleId="24">
    <w:name w:val="[系统文字]"/>
    <w:qFormat/>
    <w:uiPriority w:val="0"/>
    <w:pPr>
      <w:jc w:val="both"/>
    </w:pPr>
    <w:rPr>
      <w:rFonts w:hint="eastAsia" w:ascii="Times New Roman" w:hAnsi="Times New Roman" w:eastAsia="方正书宋_GBK" w:cs="Times New Roman"/>
      <w:color w:val="000000"/>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oleObject" Target="embeddings/oleObject2.bin"/><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7.xml"/><Relationship Id="rId20" Type="http://schemas.openxmlformats.org/officeDocument/2006/relationships/customXml" Target="../customXml/item6.xml"/><Relationship Id="rId2" Type="http://schemas.openxmlformats.org/officeDocument/2006/relationships/settings" Target="settings.xml"/><Relationship Id="rId19" Type="http://schemas.openxmlformats.org/officeDocument/2006/relationships/customXml" Target="../customXml/item5.xml"/><Relationship Id="rId18" Type="http://schemas.openxmlformats.org/officeDocument/2006/relationships/customXml" Target="../customXml/item4.xml"/><Relationship Id="rId17" Type="http://schemas.openxmlformats.org/officeDocument/2006/relationships/customXml" Target="../customXml/item3.xml"/><Relationship Id="rId16" Type="http://schemas.openxmlformats.org/officeDocument/2006/relationships/customXml" Target="../customXml/item2.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oleObject" Target="embeddings/oleObject7.bin"/><Relationship Id="rId12" Type="http://schemas.openxmlformats.org/officeDocument/2006/relationships/oleObject" Target="embeddings/oleObject6.bin"/><Relationship Id="rId11" Type="http://schemas.openxmlformats.org/officeDocument/2006/relationships/oleObject" Target="embeddings/oleObject5.bin"/><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Root xmlns="http://www.founder.com/ProofFile">
  <Root proofFileId="ae35c97b-1a0d-47f2-9c50-864111aa535c" proofVersionId="1"/>
</Root>
</file>

<file path=customXml/item2.xml><?xml version="1.0" encoding="utf-8"?>
<contractReview xmlns="http://schemas.wps.cn/vas-ai-hub/contract-review">
  <reviewItems>
    <reviewItem>
      <errorID>2591e656-5d4d-4e95-83dd-0efde0940d08</errorID>
      <errorWord>：</errorWord>
      <group>L1_Format</group>
      <groupName>格式问题</groupName>
      <ability>L2_HalfPunc</ability>
      <abilityName>全半角检查</abilityName>
      <candidateList>
        <item>:</item>
      </candidateList>
      <explain>文本全半角错误。</explain>
      <paraID>71DE91D6</paraID>
      <start>3</start>
      <end>4</end>
      <status>unmodified</status>
      <modifiedWord/>
      <trackRevisions>false</trackRevisions>
    </reviewItem>
    <reviewItem>
      <errorID>4c91ff35-d921-4e4b-a037-ac3b66e5ec22</errorID>
      <errorWord>脑卒中</errorWord>
      <group>L1_Word</group>
      <groupName>字词问题</groupName>
      <ability>L2_Typo</ability>
      <abilityName>字词错误</abilityName>
      <candidateList>
        <item>的脑卒中</item>
      </candidateList>
      <explain/>
      <paraID>5809509E</paraID>
      <start>80</start>
      <end>84</end>
      <status>modified</status>
      <modifiedWord>的脑卒中</modifiedWord>
      <trackRevisions>false</trackRevisions>
    </reviewItem>
    <reviewItem>
      <errorID>61d6b3d3-72eb-43fc-8b8d-abe9a2f667d4</errorID>
      <errorWord>为</errorWord>
      <group>L1_Word</group>
      <groupName>字词问题</groupName>
      <ability>L2_Typo</ability>
      <abilityName>字词错误</abilityName>
      <candidateList>
        <item>作为</item>
      </candidateList>
      <explain/>
      <paraID>5809509E</paraID>
      <start>89</start>
      <end>90</end>
      <status>unmodified</status>
      <modifiedWord/>
      <trackRevisions>false</trackRevisions>
    </reviewItem>
    <reviewItem>
      <errorID>9d15774b-1e7c-4be5-8675-2de933dadc99</errorID>
      <errorWord>不良反应</errorWord>
      <group>L1_Other</group>
      <groupName>其他问题</groupName>
      <ability>L2_UserTypo</ability>
      <abilityName>自定义错误</abilityName>
      <candidateList>
        <item>药物不良反应</item>
      </candidateList>
      <explain>来自自定义错词库。</explain>
      <paraID>5809509E</paraID>
      <start>330</start>
      <end>334</end>
      <status>unmodified</status>
      <modifiedWord/>
      <trackRevisions>false</trackRevisions>
    </reviewItem>
    <reviewItem>
      <errorID>29e61b7d-e986-41e2-a71e-0d259f2fa607</errorID>
      <errorWord>vs</errorWord>
      <group>L1_Sensitive</group>
      <groupName>敏感问题</groupName>
      <ability>L2_UserSensitive</ability>
      <abilityName>自定义敏感词</abilityName>
      <candidateList/>
      <explain>来自自定义敏感词库。</explain>
      <paraID>5809509E</paraID>
      <start>377</start>
      <end>379</end>
      <status>unmodified</status>
      <modifiedWord/>
      <trackRevisions>false</trackRevisions>
    </reviewItem>
    <reviewItem>
      <errorID>2b9dff14-6bc7-426b-a180-2edc75fec67e</errorID>
      <errorWord>vs</errorWord>
      <group>L1_Sensitive</group>
      <groupName>敏感问题</groupName>
      <ability>L2_UserSensitive</ability>
      <abilityName>自定义敏感词</abilityName>
      <candidateList/>
      <explain>来自自定义敏感词库。</explain>
      <paraID>5809509E</paraID>
      <start>417</start>
      <end>419</end>
      <status>unmodified</status>
      <modifiedWord/>
      <trackRevisions>false</trackRevisions>
    </reviewItem>
    <reviewItem>
      <errorID>c38c9b31-f480-456e-a4fa-00148a67ecef</errorID>
      <errorWord>vs</errorWord>
      <group>L1_Sensitive</group>
      <groupName>敏感问题</groupName>
      <ability>L2_UserSensitive</ability>
      <abilityName>自定义敏感词</abilityName>
      <candidateList/>
      <explain>来自自定义敏感词库。</explain>
      <paraID>5809509E</paraID>
      <start>459</start>
      <end>461</end>
      <status>unmodified</status>
      <modifiedWord/>
      <trackRevisions>false</trackRevisions>
    </reviewItem>
    <reviewItem>
      <errorID>153bf142-9791-4acc-b7af-5770cc3412a3</errorID>
      <errorWord>vs</errorWord>
      <group>L1_Sensitive</group>
      <groupName>敏感问题</groupName>
      <ability>L2_UserSensitive</ability>
      <abilityName>自定义敏感词</abilityName>
      <candidateList/>
      <explain>来自自定义敏感词库。</explain>
      <paraID>5809509E</paraID>
      <start>514</start>
      <end>516</end>
      <status>unmodified</status>
      <modifiedWord/>
      <trackRevisions>false</trackRevisions>
    </reviewItem>
    <reviewItem>
      <errorID>7bb23fb1-153f-46c0-9880-7dff28983462</errorID>
      <errorWord>vs</errorWord>
      <group>L1_Sensitive</group>
      <groupName>敏感问题</groupName>
      <ability>L2_UserSensitive</ability>
      <abilityName>自定义敏感词</abilityName>
      <candidateList/>
      <explain>来自自定义敏感词库。</explain>
      <paraID>5809509E</paraID>
      <start>572</start>
      <end>574</end>
      <status>unmodified</status>
      <modifiedWord/>
      <trackRevisions>false</trackRevisions>
    </reviewItem>
    <reviewItem>
      <errorID>0e837223-87a8-4ff2-a8ef-ab810ce0114b</errorID>
      <errorWord>vs</errorWord>
      <group>L1_Sensitive</group>
      <groupName>敏感问题</groupName>
      <ability>L2_UserSensitive</ability>
      <abilityName>自定义敏感词</abilityName>
      <candidateList/>
      <explain>来自自定义敏感词库。</explain>
      <paraID>5809509E</paraID>
      <start>623</start>
      <end>625</end>
      <status>unmodified</status>
      <modifiedWord/>
      <trackRevisions>false</trackRevisions>
    </reviewItem>
    <reviewItem>
      <errorID>ed612717-1487-489f-8313-79142bbf52d1</errorID>
      <errorWord>vs</errorWord>
      <group>L1_Sensitive</group>
      <groupName>敏感问题</groupName>
      <ability>L2_UserSensitive</ability>
      <abilityName>自定义敏感词</abilityName>
      <candidateList/>
      <explain>来自自定义敏感词库。</explain>
      <paraID>5809509E</paraID>
      <start>673</start>
      <end>675</end>
      <status>unmodified</status>
      <modifiedWord/>
      <trackRevisions>false</trackRevisions>
    </reviewItem>
    <reviewItem>
      <errorID>06c9ca7e-edc1-46fd-b5f3-9685c27bcf51</errorID>
      <errorWord>vs</errorWord>
      <group>L1_Sensitive</group>
      <groupName>敏感问题</groupName>
      <ability>L2_UserSensitive</ability>
      <abilityName>自定义敏感词</abilityName>
      <candidateList/>
      <explain>来自自定义敏感词库。</explain>
      <paraID>784D6B46</paraID>
      <start>1033</start>
      <end>1035</end>
      <status>unmodified</status>
      <modifiedWord/>
      <trackRevisions>false</trackRevisions>
    </reviewItem>
    <reviewItem>
      <errorID>64836270-a653-44de-ba5a-344a9fe6956a</errorID>
      <errorWord>vs</errorWord>
      <group>L1_Sensitive</group>
      <groupName>敏感问题</groupName>
      <ability>L2_UserSensitive</ability>
      <abilityName>自定义敏感词</abilityName>
      <candidateList/>
      <explain>来自自定义敏感词库。</explain>
      <paraID>784D6B46</paraID>
      <start>1081</start>
      <end>1083</end>
      <status>unmodified</status>
      <modifiedWord/>
      <trackRevisions>false</trackRevisions>
    </reviewItem>
    <reviewItem>
      <errorID>b600161e-7e2b-4491-8724-70a6df9deffe</errorID>
      <errorWord>vs</errorWord>
      <group>L1_Sensitive</group>
      <groupName>敏感问题</groupName>
      <ability>L2_UserSensitive</ability>
      <abilityName>自定义敏感词</abilityName>
      <candidateList/>
      <explain>来自自定义敏感词库。</explain>
      <paraID>784D6B46</paraID>
      <start>1129</start>
      <end>1131</end>
      <status>unmodified</status>
      <modifiedWord/>
      <trackRevisions>false</trackRevisions>
    </reviewItem>
    <reviewItem>
      <errorID>d7dd50de-edac-4770-90c4-6d3af1f596df</errorID>
      <errorWord>vs</errorWord>
      <group>L1_Sensitive</group>
      <groupName>敏感问题</groupName>
      <ability>L2_UserSensitive</ability>
      <abilityName>自定义敏感词</abilityName>
      <candidateList/>
      <explain>来自自定义敏感词库。</explain>
      <paraID>784D6B46</paraID>
      <start>1334</start>
      <end>1336</end>
      <status>unmodified</status>
      <modifiedWord/>
      <trackRevisions>false</trackRevisions>
    </reviewItem>
    <reviewItem>
      <errorID>08eeccb8-0810-457d-8ffc-f1aa70a443e9</errorID>
      <errorWord>vs</errorWord>
      <group>L1_Sensitive</group>
      <groupName>敏感问题</groupName>
      <ability>L2_UserSensitive</ability>
      <abilityName>自定义敏感词</abilityName>
      <candidateList/>
      <explain>来自自定义敏感词库。</explain>
      <paraID>784D6B46</paraID>
      <start>1401</start>
      <end>1403</end>
      <status>unmodified</status>
      <modifiedWord/>
      <trackRevisions>false</trackRevisions>
    </reviewItem>
    <reviewItem>
      <errorID>663da4a3-ce2b-4be9-ad41-17733f853a59</errorID>
      <errorWord>vs</errorWord>
      <group>L1_Sensitive</group>
      <groupName>敏感问题</groupName>
      <ability>L2_UserSensitive</ability>
      <abilityName>自定义敏感词</abilityName>
      <candidateList/>
      <explain>来自自定义敏感词库。</explain>
      <paraID>784D6B46</paraID>
      <start>1458</start>
      <end>1460</end>
      <status>unmodified</status>
      <modifiedWord/>
      <trackRevisions>false</trackRevisions>
    </reviewItem>
    <reviewItem>
      <errorID>88ecbee4-94e9-487b-88d7-2f1f01d60e04</errorID>
      <errorWord>vs</errorWord>
      <group>L1_Sensitive</group>
      <groupName>敏感问题</groupName>
      <ability>L2_UserSensitive</ability>
      <abilityName>自定义敏感词</abilityName>
      <candidateList/>
      <explain>来自自定义敏感词库。</explain>
      <paraID>784D6B46</paraID>
      <start>1676</start>
      <end>1678</end>
      <status>unmodified</status>
      <modifiedWord/>
      <trackRevisions>false</trackRevisions>
    </reviewItem>
    <reviewItem>
      <errorID>a97b37f6-2240-4cb9-96ef-1a00be961918</errorID>
      <errorWord>（</errorWord>
      <group>L1_Punc</group>
      <groupName>标点问题</groupName>
      <ability>L2_Punc</ability>
      <abilityName>标点符号检查</abilityName>
      <candidateList>
        <item>〔</item>
      </candidateList>
      <explain/>
      <paraID>18CC63DF</paraID>
      <start>89</start>
      <end>90</end>
      <status>unmodified</status>
      <modifiedWord/>
      <trackRevisions>false</trackRevisions>
    </reviewItem>
    <reviewItem>
      <errorID>9446d0a3-cc48-47e3-bbb6-24404fcccde9</errorID>
      <errorWord>）</errorWord>
      <group>L1_Punc</group>
      <groupName>标点问题</groupName>
      <ability>L2_Punc</ability>
      <abilityName>标点符号检查</abilityName>
      <candidateList>
        <item>〕</item>
      </candidateList>
      <explain/>
      <paraID>18CC63DF</paraID>
      <start>102</start>
      <end>103</end>
      <status>unmodified</status>
      <modifiedWord/>
      <trackRevisions>false</trackRevisions>
    </reviewItem>
    <reviewItem>
      <errorID>3bdbebc6-f330-4d44-9737-64a9d7e92f22</errorID>
      <errorWord>他</errorWord>
      <group>L1_Sensitive</group>
      <groupName>敏感问题</groupName>
      <ability>L2_UserSensitive</ability>
      <abilityName>自定义敏感词</abilityName>
      <candidateList/>
      <explain>来自自定义敏感词库。</explain>
      <paraID>2979928D</paraID>
      <start>9</start>
      <end>10</end>
      <status>unmodified</status>
      <modifiedWord/>
      <trackRevisions>false</trackRevisions>
    </reviewItem>
    <reviewItem>
      <errorID>aee23947-29d4-4f19-94d0-6c6222b5e5f7</errorID>
      <errorWord>禁忌证</errorWord>
      <group>L1_Word</group>
      <groupName>字词问题</groupName>
      <ability>L2_Typo</ability>
      <abilityName>字词错误</abilityName>
      <candidateList>
        <item>禁忌症</item>
      </candidateList>
      <explain>存在发音相同字词的误用。</explain>
      <paraID>2979928D</paraID>
      <start>45</start>
      <end>48</end>
      <status>unmodified</status>
      <modifiedWord/>
      <trackRevisions>false</trackRevisions>
    </reviewItem>
    <reviewItem>
      <errorID>06d9b32c-7a6a-4953-aded-7bb7b0f780ef</errorID>
      <errorWord>（</errorWord>
      <group>L1_Format</group>
      <groupName>格式问题</groupName>
      <ability>L2_HalfPunc</ability>
      <abilityName>全半角检查</abilityName>
      <candidateList>
        <item>(</item>
      </candidateList>
      <explain>文本全半角错误。</explain>
      <paraID>649B8BC5</paraID>
      <start>3</start>
      <end>4</end>
      <status>unmodified</status>
      <modifiedWord/>
      <trackRevisions>false</trackRevisions>
    </reviewItem>
    <reviewItem>
      <errorID>14fe27d2-0e0a-466c-8859-a5f2aaff0bfa</errorID>
      <errorWord>）</errorWord>
      <group>L1_Format</group>
      <groupName>格式问题</groupName>
      <ability>L2_HalfPunc</ability>
      <abilityName>全半角检查</abilityName>
      <candidateList>
        <item>)</item>
      </candidateList>
      <explain>文本全半角错误。</explain>
      <paraID>649B8BC5</paraID>
      <start>11</start>
      <end>12</end>
      <status>unmodified</status>
      <modifiedWord/>
      <trackRevisions>false</trackRevisions>
    </reviewItem>
    <reviewItem>
      <errorID>c94762bd-09c2-492f-b5ff-88e7c43605db</errorID>
      <errorWord>（</errorWord>
      <group>L1_Format</group>
      <groupName>格式问题</groupName>
      <ability>L2_HalfPunc</ability>
      <abilityName>全半角检查</abilityName>
      <candidateList>
        <item>(</item>
      </candidateList>
      <explain>文本全半角错误。</explain>
      <paraID>649B8BC5</paraID>
      <start>57</start>
      <end>58</end>
      <status>unmodified</status>
      <modifiedWord/>
      <trackRevisions>false</trackRevisions>
    </reviewItem>
    <reviewItem>
      <errorID>a1917c67-037b-4100-b391-6fdd3ad93ffe</errorID>
      <errorWord>）</errorWord>
      <group>L1_Format</group>
      <groupName>格式问题</groupName>
      <ability>L2_HalfPunc</ability>
      <abilityName>全半角检查</abilityName>
      <candidateList>
        <item>)</item>
      </candidateList>
      <explain>文本全半角错误。</explain>
      <paraID>649B8BC5</paraID>
      <start>59</start>
      <end>60</end>
      <status>unmodified</status>
      <modifiedWord/>
      <trackRevisions>false</trackRevisions>
    </reviewItem>
    <reviewItem>
      <errorID>bc88d52a-64e2-42c2-a023-db02e20fa960</errorID>
      <errorWord>实际操作实际</errorWord>
      <group>L1_Grammar</group>
      <groupName>语法问题</groupName>
      <ability>L2_Grammar</ability>
      <abilityName>语法错误</abilityName>
      <candidateList>
        <item>实际操作</item>
      </candidateList>
      <explain/>
      <paraID>70C5BFA3</paraID>
      <start>234</start>
      <end>238</end>
      <status>modified</status>
      <modifiedWord>实际操作</modifiedWord>
      <trackRevisions>false</trackRevisions>
    </reviewItem>
    <reviewItem>
      <errorID>5c158eb9-9004-457f-b3fc-3eed297f5c38</errorID>
      <errorWord>捏力</errorWord>
      <group>L1_Word</group>
      <groupName>字词问题</groupName>
      <ability>L2_Typo</ability>
      <abilityName>字词错误</abilityName>
      <candidateList>
        <item>握力</item>
      </candidateList>
      <explain/>
      <paraID>64B942FA</paraID>
      <start>91</start>
      <end>93</end>
      <status>unmodified</status>
      <modifiedWord/>
      <trackRevisions>false</trackRevisions>
    </reviewItem>
    <reviewItem>
      <errorID>6a1d784c-b949-42d9-877f-fbf4523141a1</errorID>
      <errorWord>准确性</errorWord>
      <group>L1_Other</group>
      <groupName>其他问题</groupName>
      <ability>L2_UserTypo</ability>
      <abilityName>自定义错误</abilityName>
      <candidateList>
        <item>准确度</item>
      </candidateList>
      <explain>来自自定义错词库。</explain>
      <paraID>5DB9F4FF</paraID>
      <start>247</start>
      <end>250</end>
      <status>unmodified</status>
      <modifiedWord/>
      <trackRevisions>false</trackRevisions>
    </reviewItem>
    <reviewItem>
      <errorID>14573d82-4585-4bfc-9ba7-2a0f21a8eda7</errorID>
      <errorWord>不良反应</errorWord>
      <group>L1_Other</group>
      <groupName>其他问题</groupName>
      <ability>L2_UserTypo</ability>
      <abilityName>自定义错误</abilityName>
      <candidateList>
        <item>药物不良反应</item>
      </candidateList>
      <explain>来自自定义错词库。</explain>
      <paraID>39E939AB</paraID>
      <start>20</start>
      <end>24</end>
      <status>unmodified</status>
      <modifiedWord/>
      <trackRevisions>false</trackRevisions>
    </reviewItem>
    <reviewItem>
      <errorID>542f2929-ec49-42a9-a0f5-70678302c10c</errorID>
      <errorWord> </errorWord>
      <group>L1_Punc</group>
      <groupName>标点问题</groupName>
      <ability>L2_Punc</ability>
      <abilityName>标点符号检查</abilityName>
      <candidateList>
        <item>`</item>
      </candidateList>
      <explain/>
      <paraID> 299CF32</paraID>
      <start>75</start>
      <end>76</end>
      <status>unmodified</status>
      <modifiedWord/>
      <trackRevisions>false</trackRevisions>
    </reviewItem>
    <reviewItem>
      <errorID>1f1750ba-8bcb-462b-b30d-593f18ffe139</errorID>
      <errorWord> </errorWord>
      <group>L1_Punc</group>
      <groupName>标点问题</groupName>
      <ability>L2_Punc</ability>
      <abilityName>标点符号检查</abilityName>
      <candidateList>
        <item/>
      </candidateList>
      <explain>此处空格冗余，建议删除。</explain>
      <paraID> F6CDFE1</paraID>
      <start>2</start>
      <end>3</end>
      <status>unmodified</status>
      <modifiedWord/>
      <trackRevisions>false</trackRevisions>
    </reviewItem>
    <reviewItem>
      <errorID>14a6cf4b-5704-4b83-aa80-21527c9d6c81</errorID>
      <errorWord>2组</errorWord>
      <group>L1_Word</group>
      <groupName>字词问题</groupName>
      <ability>L2_Typo</ability>
      <abilityName>字词错误</abilityName>
      <candidateList>
        <item>两组</item>
      </candidateList>
      <explain/>
      <paraID> F6CDFE1</paraID>
      <start>4</start>
      <end>6</end>
      <status>unmodified</status>
      <modifiedWord/>
      <trackRevisions>false</trackRevisions>
    </reviewItem>
    <reviewItem>
      <errorID>ee7450ab-c2bb-4759-be88-817b60896c8f</errorID>
      <errorWord>（</errorWord>
      <group>L1_Format</group>
      <groupName>格式问题</groupName>
      <ability>L2_HalfPunc</ability>
      <abilityName>全半角检查</abilityName>
      <candidateList>
        <item>(</item>
      </candidateList>
      <explain>文本全半角错误。</explain>
      <paraID>35A22322</paraID>
      <start>2</start>
      <end>3</end>
      <status>unmodified</status>
      <modifiedWord/>
      <trackRevisions>false</trackRevisions>
    </reviewItem>
    <reviewItem>
      <errorID>6bfd7e0a-64b7-4e56-a351-3a4b026195f6</errorID>
      <errorWord>）</errorWord>
      <group>L1_Format</group>
      <groupName>格式问题</groupName>
      <ability>L2_HalfPunc</ability>
      <abilityName>全半角检查</abilityName>
      <candidateList>
        <item>)</item>
      </candidateList>
      <explain>文本全半角错误。</explain>
      <paraID>35A22322</paraID>
      <start>8</start>
      <end>9</end>
      <status>unmodified</status>
      <modifiedWord/>
      <trackRevisions>false</trackRevisions>
    </reviewItem>
    <reviewItem>
      <errorID>79b00cd3-1800-41b7-9146-1dfe19d33c6f</errorID>
      <errorWord>（</errorWord>
      <group>L1_Format</group>
      <groupName>格式问题</groupName>
      <ability>L2_HalfPunc</ability>
      <abilityName>全半角检查</abilityName>
      <candidateList>
        <item>(</item>
      </candidateList>
      <explain>文本全半角错误。</explain>
      <paraID>47002D27</paraID>
      <start>2</start>
      <end>3</end>
      <status>unmodified</status>
      <modifiedWord/>
      <trackRevisions>false</trackRevisions>
    </reviewItem>
    <reviewItem>
      <errorID>575d486d-936e-4450-a369-76766a546592</errorID>
      <errorWord>）</errorWord>
      <group>L1_Format</group>
      <groupName>格式问题</groupName>
      <ability>L2_HalfPunc</ability>
      <abilityName>全半角检查</abilityName>
      <candidateList>
        <item>)</item>
      </candidateList>
      <explain>文本全半角错误。</explain>
      <paraID>47002D27</paraID>
      <start>8</start>
      <end>9</end>
      <status>unmodified</status>
      <modifiedWord/>
      <trackRevisions>false</trackRevisions>
    </reviewItem>
    <reviewItem>
      <errorID>d2e07046-b5c5-4dac-a27b-b927a05e6548</errorID>
      <errorWord>（</errorWord>
      <group>L1_Format</group>
      <groupName>格式问题</groupName>
      <ability>L2_HalfPunc</ability>
      <abilityName>全半角检查</abilityName>
      <candidateList>
        <item>(</item>
      </candidateList>
      <explain>文本全半角错误。</explain>
      <paraID>1208FF79</paraID>
      <start>2</start>
      <end>3</end>
      <status>unmodified</status>
      <modifiedWord/>
      <trackRevisions>false</trackRevisions>
    </reviewItem>
    <reviewItem>
      <errorID>236d5ea8-9a4c-4923-bda1-d611a8639645</errorID>
      <errorWord>）</errorWord>
      <group>L1_Format</group>
      <groupName>格式问题</groupName>
      <ability>L2_HalfPunc</ability>
      <abilityName>全半角检查</abilityName>
      <candidateList>
        <item>)</item>
      </candidateList>
      <explain>文本全半角错误。</explain>
      <paraID>1208FF79</paraID>
      <start>8</start>
      <end>9</end>
      <status>unmodified</status>
      <modifiedWord/>
      <trackRevisions>false</trackRevisions>
    </reviewItem>
    <reviewItem>
      <errorID>cef84721-1545-4c30-b746-16622d5f22f6</errorID>
      <errorWord>（</errorWord>
      <group>L1_Format</group>
      <groupName>格式问题</groupName>
      <ability>L2_HalfPunc</ability>
      <abilityName>全半角检查</abilityName>
      <candidateList>
        <item>(</item>
      </candidateList>
      <explain>文本全半角错误。</explain>
      <paraID>455A63B9</paraID>
      <start>2</start>
      <end>3</end>
      <status>unmodified</status>
      <modifiedWord/>
      <trackRevisions>false</trackRevisions>
    </reviewItem>
    <reviewItem>
      <errorID>5320ee16-5d52-45a1-9a4a-ce43a6cf6edc</errorID>
      <errorWord>）</errorWord>
      <group>L1_Format</group>
      <groupName>格式问题</groupName>
      <ability>L2_HalfPunc</ability>
      <abilityName>全半角检查</abilityName>
      <candidateList>
        <item>)</item>
      </candidateList>
      <explain>文本全半角错误。</explain>
      <paraID>455A63B9</paraID>
      <start>8</start>
      <end>9</end>
      <status>unmodified</status>
      <modifiedWord/>
      <trackRevisions>false</trackRevisions>
    </reviewItem>
    <reviewItem>
      <errorID>6048957e-56b2-4a70-98e9-715008934899</errorID>
      <errorWord>（</errorWord>
      <group>L1_Format</group>
      <groupName>格式问题</groupName>
      <ability>L2_HalfPunc</ability>
      <abilityName>全半角检查</abilityName>
      <candidateList>
        <item>(</item>
      </candidateList>
      <explain>文本全半角错误。</explain>
      <paraID>4DAC3B29</paraID>
      <start>2</start>
      <end>3</end>
      <status>unmodified</status>
      <modifiedWord/>
      <trackRevisions>false</trackRevisions>
    </reviewItem>
    <reviewItem>
      <errorID>baf9d94d-69e6-47ab-bb45-327c59dc09b6</errorID>
      <errorWord>）</errorWord>
      <group>L1_Format</group>
      <groupName>格式问题</groupName>
      <ability>L2_HalfPunc</ability>
      <abilityName>全半角检查</abilityName>
      <candidateList>
        <item>)</item>
      </candidateList>
      <explain>文本全半角错误。</explain>
      <paraID>4DAC3B29</paraID>
      <start>8</start>
      <end>9</end>
      <status>unmodified</status>
      <modifiedWord/>
      <trackRevisions>false</trackRevisions>
    </reviewItem>
    <reviewItem>
      <errorID>082bfb84-f887-45b7-b73e-476519dcebca</errorID>
      <errorWord>（</errorWord>
      <group>L1_Format</group>
      <groupName>格式问题</groupName>
      <ability>L2_HalfPunc</ability>
      <abilityName>全半角检查</abilityName>
      <candidateList>
        <item>(</item>
      </candidateList>
      <explain>文本全半角错误。</explain>
      <paraID>3E6F2FF7</paraID>
      <start>2</start>
      <end>3</end>
      <status>unmodified</status>
      <modifiedWord/>
      <trackRevisions>false</trackRevisions>
    </reviewItem>
    <reviewItem>
      <errorID>4029c40e-546a-4007-a8d9-61bfd92164c8</errorID>
      <errorWord>）</errorWord>
      <group>L1_Format</group>
      <groupName>格式问题</groupName>
      <ability>L2_HalfPunc</ability>
      <abilityName>全半角检查</abilityName>
      <candidateList>
        <item>)</item>
      </candidateList>
      <explain>文本全半角错误。</explain>
      <paraID>3E6F2FF7</paraID>
      <start>8</start>
      <end>9</end>
      <status>unmodified</status>
      <modifiedWord/>
      <trackRevisions>false</trackRevisions>
    </reviewItem>
    <reviewItem>
      <errorID>15e8e987-33c3-4ba7-8840-c8606b5e3b93</errorID>
      <errorWord>（</errorWord>
      <group>L1_Format</group>
      <groupName>格式问题</groupName>
      <ability>L2_HalfPunc</ability>
      <abilityName>全半角检查</abilityName>
      <candidateList>
        <item>(</item>
      </candidateList>
      <explain>文本全半角错误。</explain>
      <paraID>48ED7C00</paraID>
      <start>2</start>
      <end>3</end>
      <status>unmodified</status>
      <modifiedWord/>
      <trackRevisions>false</trackRevisions>
    </reviewItem>
    <reviewItem>
      <errorID>f6ce3f9e-c5a3-4896-a4fd-4693577f32d5</errorID>
      <errorWord>）</errorWord>
      <group>L1_Format</group>
      <groupName>格式问题</groupName>
      <ability>L2_HalfPunc</ability>
      <abilityName>全半角检查</abilityName>
      <candidateList>
        <item>)</item>
      </candidateList>
      <explain>文本全半角错误。</explain>
      <paraID>48ED7C00</paraID>
      <start>8</start>
      <end>9</end>
      <status>unmodified</status>
      <modifiedWord/>
      <trackRevisions>false</trackRevisions>
    </reviewItem>
    <reviewItem>
      <errorID>90a60a73-b44f-4abd-9518-1eab42fe9073</errorID>
      <errorWord>（</errorWord>
      <group>L1_Format</group>
      <groupName>格式问题</groupName>
      <ability>L2_HalfPunc</ability>
      <abilityName>全半角检查</abilityName>
      <candidateList>
        <item>(</item>
      </candidateList>
      <explain>文本全半角错误。</explain>
      <paraID>505DBB51</paraID>
      <start>2</start>
      <end>3</end>
      <status>unmodified</status>
      <modifiedWord/>
      <trackRevisions>false</trackRevisions>
    </reviewItem>
    <reviewItem>
      <errorID>44238b54-bb63-4f1d-a605-fdd2a31dbf03</errorID>
      <errorWord>）</errorWord>
      <group>L1_Format</group>
      <groupName>格式问题</groupName>
      <ability>L2_HalfPunc</ability>
      <abilityName>全半角检查</abilityName>
      <candidateList>
        <item>)</item>
      </candidateList>
      <explain>文本全半角错误。</explain>
      <paraID>505DBB51</paraID>
      <start>8</start>
      <end>9</end>
      <status>unmodified</status>
      <modifiedWord/>
      <trackRevisions>false</trackRevisions>
    </reviewItem>
    <reviewItem>
      <errorID>0708deb9-8bbe-4cd3-b7e6-600e0d7e5fda</errorID>
      <errorWord> </errorWord>
      <group>L1_Punc</group>
      <groupName>标点问题</groupName>
      <ability>L2_Punc</ability>
      <abilityName>标点符号检查</abilityName>
      <candidateList>
        <item/>
      </candidateList>
      <explain>此处空格冗余，建议删除。</explain>
      <paraID>3538C03E</paraID>
      <start>2</start>
      <end>3</end>
      <status>unmodified</status>
      <modifiedWord/>
      <trackRevisions>false</trackRevisions>
    </reviewItem>
    <reviewItem>
      <errorID>0821fa72-9492-4955-84ae-2f6a2597e7d4</errorID>
      <errorWord>2组</errorWord>
      <group>L1_Word</group>
      <groupName>字词问题</groupName>
      <ability>L2_Typo</ability>
      <abilityName>字词错误</abilityName>
      <candidateList>
        <item>两组</item>
      </candidateList>
      <explain/>
      <paraID>3538C03E</paraID>
      <start>4</start>
      <end>6</end>
      <status>unmodified</status>
      <modifiedWord/>
      <trackRevisions>false</trackRevisions>
    </reviewItem>
    <reviewItem>
      <errorID>63f31b45-7bd9-4890-96b1-e7a84d7e27c5</errorID>
      <errorWord> </errorWord>
      <group>L1_Punc</group>
      <groupName>标点问题</groupName>
      <ability>L2_Punc</ability>
      <abilityName>标点符号检查</abilityName>
      <candidateList>
        <item/>
      </candidateList>
      <explain>此处空格冗余，建议删除。</explain>
      <paraID>15F3B681</paraID>
      <start>2</start>
      <end>3</end>
      <status>unmodified</status>
      <modifiedWord/>
      <trackRevisions>false</trackRevisions>
    </reviewItem>
    <reviewItem>
      <errorID>40fec07e-3931-44f3-9511-5e0cf262851c</errorID>
      <errorWord>2组</errorWord>
      <group>L1_Word</group>
      <groupName>字词问题</groupName>
      <ability>L2_Typo</ability>
      <abilityName>字词错误</abilityName>
      <candidateList>
        <item>两组</item>
      </candidateList>
      <explain/>
      <paraID>15F3B681</paraID>
      <start>4</start>
      <end>6</end>
      <status>unmodified</status>
      <modifiedWord/>
      <trackRevisions>false</trackRevisions>
    </reviewItem>
    <reviewItem>
      <errorID>ee9b83d6-4e5c-4f52-a858-86318fcaf752</errorID>
      <errorWord> </errorWord>
      <group>L1_Punc</group>
      <groupName>标点问题</groupName>
      <ability>L2_Punc</ability>
      <abilityName>标点符号检查</abilityName>
      <candidateList>
        <item/>
      </candidateList>
      <explain>此处空格冗余，建议删除。</explain>
      <paraID>762F6E3B</paraID>
      <start>2</start>
      <end>3</end>
      <status>unmodified</status>
      <modifiedWord/>
      <trackRevisions>false</trackRevisions>
    </reviewItem>
    <reviewItem>
      <errorID>bac3e45d-4f3c-421a-8402-7d9b9028575d</errorID>
      <errorWord>2组</errorWord>
      <group>L1_Word</group>
      <groupName>字词问题</groupName>
      <ability>L2_Typo</ability>
      <abilityName>字词错误</abilityName>
      <candidateList>
        <item>两组</item>
      </candidateList>
      <explain/>
      <paraID>762F6E3B</paraID>
      <start>4</start>
      <end>6</end>
      <status>unmodified</status>
      <modifiedWord/>
      <trackRevisions>false</trackRevisions>
    </reviewItem>
    <reviewItem>
      <errorID>3c1cd82e-7e4d-4bdd-8cf1-adf10dd1e0f4</errorID>
      <errorWord>（</errorWord>
      <group>L1_Punc</group>
      <groupName>标点问题</groupName>
      <ability>L2_Punc</ability>
      <abilityName>标点符号检查</abilityName>
      <candidateList>
        <item>（ ）</item>
      </candidateList>
      <explain/>
      <paraID>762F6E3B</paraID>
      <start>21</start>
      <end>22</end>
      <status>unmodified</status>
      <modifiedWord/>
      <trackRevisions>false</trackRevisions>
    </reviewItem>
    <reviewItem>
      <errorID>ae73d37c-457b-4074-a39f-6695c0a7c498</errorID>
      <errorWord>， </errorWord>
      <group>L1_Punc</group>
      <groupName>标点问题</groupName>
      <ability>L2_Punc</ability>
      <abilityName>标点符号检查</abilityName>
      <candidateList>
        <item/>
      </candidateList>
      <explain/>
      <paraID> C8AC75A</paraID>
      <start>27</start>
      <end>49</end>
      <status>unmodified</status>
      <modifiedWord/>
      <trackRevisions>false</trackRevisions>
    </reviewItem>
    <reviewItem>
      <errorID>c7531171-10e9-46b2-a5e2-9a547a0b5603</errorID>
      <errorWord>他</errorWord>
      <group>L1_Sensitive</group>
      <groupName>敏感问题</groupName>
      <ability>L2_UserSensitive</ability>
      <abilityName>自定义敏感词</abilityName>
      <candidateList/>
      <explain>来自自定义敏感词库。</explain>
      <paraID>43E28BD0</paraID>
      <start>35</start>
      <end>36</end>
      <status>unmodified</status>
      <modifiedWord/>
      <trackRevisions>false</trackRevisions>
    </reviewItem>
    <reviewItem>
      <errorID>eaa21baf-9a5a-4aa1-91a9-f0ddba61ace4</errorID>
      <errorWord>讨    论</errorWord>
      <group>L1_Grammar</group>
      <groupName>语法问题</groupName>
      <ability>L2_Grammar</ability>
      <abilityName>语法错误</abilityName>
      <candidateList>
        <item>讨论</item>
      </candidateList>
      <explain/>
      <paraID>2489CC06</paraID>
      <start>0</start>
      <end>6</end>
      <status>unmodified</status>
      <modifiedWord/>
      <trackRevisions>false</trackRevisions>
    </reviewItem>
    <reviewItem>
      <errorID>55cfd875-57ae-4c4d-9f35-dd2b07dce5ee</errorID>
      <errorWord>"</errorWord>
      <group>L1_Format</group>
      <groupName>格式问题</groupName>
      <ability>L2_HalfPunc</ability>
      <abilityName>全半角检查</abilityName>
      <candidateList>
        <item>“</item>
      </candidateList>
      <explain>文本全半角错误。</explain>
      <paraID>6F5E71D7</paraID>
      <start>108</start>
      <end>109</end>
      <status>modified</status>
      <modifiedWord>“</modifiedWord>
      <trackRevisions>false</trackRevisions>
    </reviewItem>
    <reviewItem>
      <errorID>1b1d302d-9f4b-4116-a2c6-450c4226fd1d</errorID>
      <errorWord>-</errorWord>
      <group>L1_Format</group>
      <groupName>格式问题</groupName>
      <ability>L2_HalfPunc</ability>
      <abilityName>全半角检查</abilityName>
      <candidateList>
        <item>－</item>
      </candidateList>
      <explain>文本全半角错误。</explain>
      <paraID>6F5E71D7</paraID>
      <start>111</start>
      <end>112</end>
      <status>modified</status>
      <modifiedWord>－</modifiedWord>
      <trackRevisions>false</trackRevisions>
    </reviewItem>
    <reviewItem>
      <errorID>7585de41-03f2-4e10-bd5b-e1ce32058324</errorID>
      <errorWord>"</errorWord>
      <group>L1_Format</group>
      <groupName>格式问题</groupName>
      <ability>L2_HalfPunc</ability>
      <abilityName>全半角检查</abilityName>
      <candidateList>
        <item>”</item>
      </candidateList>
      <explain>文本全半角错误。</explain>
      <paraID>6F5E71D7</paraID>
      <start>118</start>
      <end>119</end>
      <status>modified</status>
      <modifiedWord>”</modifiedWord>
      <trackRevisions>false</trackRevisions>
    </reviewItem>
    <reviewItem>
      <errorID>41003088-055b-45c9-8cd1-7c5f57aafea1</errorID>
      <errorWord>-</errorWord>
      <group>L1_Format</group>
      <groupName>格式问题</groupName>
      <ability>L2_HalfPunc</ability>
      <abilityName>全半角检查</abilityName>
      <candidateList>
        <item>－</item>
      </candidateList>
      <explain>文本全半角错误。</explain>
      <paraID>6F5E71D7</paraID>
      <start>193</start>
      <end>194</end>
      <status>modified</status>
      <modifiedWord>－</modifiedWord>
      <trackRevisions>false</trackRevisions>
    </reviewItem>
    <reviewItem>
      <errorID>25e9a4ee-338b-4d3c-9158-6132dd5c191d</errorID>
      <errorWord>本研究结果显示</errorWord>
      <group>L1_Other</group>
      <groupName>其他问题</groupName>
      <ability>L2_UserTypo</ability>
      <abilityName>自定义错误</abilityName>
      <candidateList>
        <item>本研究发现</item>
      </candidateList>
      <explain>来自自定义错词库。</explain>
      <paraID>5F52C3FA</paraID>
      <start>0</start>
      <end>5</end>
      <status>modified</status>
      <modifiedWord>本研究发现</modifiedWord>
      <trackRevisions>false</trackRevisions>
    </reviewItem>
    <reviewItem>
      <errorID>d4de5f51-d854-4013-ae11-766676d4fa4e</errorID>
      <errorWord>-</errorWord>
      <group>L1_Format</group>
      <groupName>格式问题</groupName>
      <ability>L2_HalfPunc</ability>
      <abilityName>全半角检查</abilityName>
      <candidateList>
        <item>－</item>
      </candidateList>
      <explain>文本全半角错误。</explain>
      <paraID>33FE0640</paraID>
      <start>105</start>
      <end>106</end>
      <status>unmodified</status>
      <modifiedWord/>
      <trackRevisions>false</trackRevisions>
    </reviewItem>
    <reviewItem>
      <errorID>b565fbcb-fe65-40fb-a359-258898105a6d</errorID>
      <errorWord>但是</errorWord>
      <group>L1_Word</group>
      <groupName>字词问题</groupName>
      <ability>L2_Typo</ability>
      <abilityName>字词错误</abilityName>
      <candidateList>
        <item>但</item>
      </candidateList>
      <explain>❶〈副〉只；仅仅：～愿如此｜不求有功，～求无过｜辽阔的原野上，～见麦浪随风起伏。❷〈连〉但是：屋子小，～挺干净｜工作虽然忙，～一点也没放松学习。❸（Dàn）〈名〉姓。</explain>
      <paraID>51C565D8</paraID>
      <start>108</start>
      <end>109</end>
      <status>modified</status>
      <modifiedWord>但</modifiedWord>
      <trackRevisions>false</trackRevisions>
    </reviewItem>
    <reviewItem>
      <errorID>9695894e-2671-41e6-b148-bddff4820466</errorID>
      <errorWord>-</errorWord>
      <group>L1_Format</group>
      <groupName>格式问题</groupName>
      <ability>L2_HalfPunc</ability>
      <abilityName>全半角检查</abilityName>
      <candidateList>
        <item>－</item>
      </candidateList>
      <explain>文本全半角错误。</explain>
      <paraID>69C3FCCD</paraID>
      <start>64</start>
      <end>65</end>
      <status>modified</status>
      <modifiedWord>－</modifiedWord>
      <trackRevisions>false</trackRevisions>
    </reviewItem>
    <reviewItem>
      <errorID>5cffdf89-358c-4527-825e-b102dab4cb8d</errorID>
      <errorWord>卓</errorWord>
      <group>L1_Other</group>
      <groupName>其他问题</groupName>
      <ability>L2_UserTypo</ability>
      <abilityName>自定义错误</abilityName>
      <candidateList>
        <item>䓬</item>
      </candidateList>
      <explain>来自自定义错词库。</explain>
      <paraID> A53AC15</paraID>
      <start>6</start>
      <end>7</end>
      <status>unmodified</status>
      <modifiedWord/>
      <trackRevisions>false</trackRevisions>
    </reviewItem>
    <reviewItem>
      <errorID>9c824435-b866-4e7c-acea-09f2798d9fa9</errorID>
      <errorWord>神经损伤与功能重建</errorWord>
      <group>L1_Sensitive</group>
      <groupName>敏感问题</groupName>
      <ability>L2_UserSensitive</ability>
      <abilityName>自定义敏感词</abilityName>
      <candidateList/>
      <explain>来自自定义敏感词库。</explain>
      <paraID>3AE20A7F</paraID>
      <start>44</start>
      <end>53</end>
      <status>unmodified</status>
      <modifiedWord/>
      <trackRevisions>false</trackRevisions>
    </reviewItem>
    <reviewItem>
      <errorID>e7d10a1a-654b-4e24-a4d0-d0bcb06cd1ac</errorID>
      <errorWord>(</errorWord>
      <group>L1_Punc</group>
      <groupName>标点问题</groupName>
      <ability>L2_Punc</ability>
      <abilityName>标点符号检查</abilityName>
      <candidateList>
        <item>（</item>
      </candidateList>
      <explain/>
      <paraID>64F1C8E0</paraID>
      <start>57</start>
      <end>58</end>
      <status>unmodified</status>
      <modifiedWord/>
      <trackRevisions>false</trackRevisions>
    </reviewItem>
    <reviewItem>
      <errorID>e4ca31c6-f0ee-4e20-8096-5df1a984efa7</errorID>
      <errorWord>病人</errorWord>
      <group>L1_Other</group>
      <groupName>其他问题</groupName>
      <ability>L2_UserTypo</ability>
      <abilityName>自定义错误</abilityName>
      <candidateList>
        <item>患者</item>
      </candidateList>
      <explain>来自自定义错词库。</explain>
      <paraID>77AF1F15</paraID>
      <start>32</start>
      <end>34</end>
      <status>unmodified</status>
      <modifiedWord/>
      <trackRevisions>false</trackRevisions>
    </reviewItem>
    <reviewItem>
      <errorID>136605a8-b0b8-4a40-9993-afd5c3b951fd</errorID>
      <errorWord>病人</errorWord>
      <group>L1_Other</group>
      <groupName>其他问题</groupName>
      <ability>L2_UserTypo</ability>
      <abilityName>自定义错误</abilityName>
      <candidateList>
        <item>患者</item>
      </candidateList>
      <explain>来自自定义错词库。</explain>
      <paraID>3B38A52B</paraID>
      <start>32</start>
      <end>34</end>
      <status>unmodified</status>
      <modifiedWord/>
      <trackRevisions>false</trackRevisions>
    </reviewItem>
    <reviewItem>
      <errorID>87156ec8-b359-4523-8789-e09819ea50f7</errorID>
      <errorWord>贇</errorWord>
      <group>L1_Word</group>
      <groupName>字词问题</groupName>
      <ability>L2_Fanti</ability>
      <abilityName>繁转简</abilityName>
      <candidateList>
        <item>赟</item>
      </candidateList>
      <explain/>
      <paraID>2F6CD1A0</paraID>
      <start>2</start>
      <end>3</end>
      <status>unmodified</status>
      <modifiedWord/>
      <trackRevisions>false</trackRevisions>
    </reviewItem>
    <reviewItem>
      <errorID>12470702-8417-40dd-8d6a-0af14a5fac3a</errorID>
      <errorWord>中国实用神经疾病杂志</errorWord>
      <group>L1_Sensitive</group>
      <groupName>敏感问题</groupName>
      <ability>L2_UserSensitive</ability>
      <abilityName>自定义敏感词</abilityName>
      <candidateList/>
      <explain>来自自定义敏感词库。</explain>
      <paraID>3518A428</paraID>
      <start>35</start>
      <end>45</end>
      <status>unmodified</status>
      <modifiedWord/>
      <trackRevisions>false</trackRevisions>
    </reviewItem>
    <reviewItem>
      <errorID>7154c29f-70c3-4f54-8b2f-4a1d4afb6448</errorID>
      <errorWord>,</errorWord>
      <group>L1_Format</group>
      <groupName>格式问题</groupName>
      <ability>L2_HalfPunc</ability>
      <abilityName>全半角检查</abilityName>
      <candidateList>
        <item>，</item>
      </candidateList>
      <explain>文本全半角错误。</explain>
      <paraID>339D86E5</paraID>
      <start>3</start>
      <end>4</end>
      <status>unmodified</status>
      <modifiedWord/>
      <trackRevisions>false</trackRevisions>
    </reviewItem>
    <reviewItem>
      <errorID>75bad397-f9a1-4b70-a3a8-3628bb05f380</errorID>
      <errorWord>.</errorWord>
      <group>L1_Format</group>
      <groupName>格式问题</groupName>
      <ability>L2_HalfPunc</ability>
      <abilityName>全半角检查</abilityName>
      <candidateList>
        <item>。</item>
      </candidateList>
      <explain>文本全半角错误。</explain>
      <paraID>339D86E5</paraID>
      <start>8</start>
      <end>9</end>
      <status>unmodified</status>
      <modifiedWord/>
      <trackRevisions>false</trackRevisions>
    </reviewItem>
    <reviewItem>
      <errorID>eac79b50-3bd1-421b-a232-b04f053fa577</errorID>
      <errorWord>(</errorWord>
      <group>L1_Format</group>
      <groupName>格式问题</groupName>
      <ability>L2_HalfPunc</ability>
      <abilityName>全半角检查</abilityName>
      <candidateList>
        <item>（</item>
      </candidateList>
      <explain>文本全半角错误。</explain>
      <paraID>339D86E5</paraID>
      <start>60</start>
      <end>61</end>
      <status>unmodified</status>
      <modifiedWord/>
      <trackRevisions>false</trackRevisions>
    </reviewItem>
    <reviewItem>
      <errorID>039415c7-c233-42a7-9e3f-c8418c81c84e</errorID>
      <errorWord>,</errorWord>
      <group>L1_Format</group>
      <groupName>格式问题</groupName>
      <ability>L2_HalfPunc</ability>
      <abilityName>全半角检查</abilityName>
      <candidateList>
        <item>，</item>
      </candidateList>
      <explain>文本全半角错误。</explain>
      <paraID>339D86E5</paraID>
      <start>65</start>
      <end>66</end>
      <status>unmodified</status>
      <modifiedWord/>
      <trackRevisions>false</trackRevisions>
    </reviewItem>
  </reviewItems>
  <config/>
</contractReview>
</file>

<file path=customXml/item3.xml><?xml version="1.0" encoding="utf-8"?>
<ReviewRoot xmlns="http://www.founder.com/review">
  <Review inspectType="多余空格" inspectCategory="可疑" errorCategory="4" operate="1" amend="0" amendTime="" amendContent="" amendColor="" joinJudianRef="" inspectTypeEn="errorspace" keywordsUrl="" rule="" lookup="目的观察" content="目的  观察" source="疑似存在多余的空格" errorType="16" AllIndex="0" context="【摘要】目的  观察功能性电刺激（FES）联合不对称性等速肌力训练用于脑卒中后偏瘫患者的临床疗效及安全性。" id="2141836" bkName="bkReivew2141836" note="0" index="4"/>
  <Review inspectType="多余空格" inspectCategory="可疑" errorCategory="4" operate="1" amend="0" amendTime="" amendContent="" amendColor="" joinJudianRef="" inspectTypeEn="errorspace" keywordsUrl="" rule="" lookup="方法前瞻性" content="方法  前瞻性" source="疑似存在多余的空格" errorType="16" AllIndex="0" context="方法  前瞻性纳入2020年8月至2023年12月收治的脑卒中后偏瘫患者为研究对象。" id="3070241" bkName="bkReivew3070241" note="0" index="0"/>
  <Review inspectType="多余空格" inspectCategory="可疑" errorCategory="4" operate="1" amend="0" amendTime="" amendContent="" amendColor="" joinJudianRef="" inspectTypeEn="errorspace" keywordsUrl="" rule="" lookup="结果干预" content="结果  干预"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3031312" bkName="bkReivew3031312" note="0" index="0"/>
  <Review inspectType="多余空格" inspectCategory="可疑" errorCategory="4" operate="1" amend="0" amendTime="" amendContent="" amendColor="" joinJudianRef="" inspectTypeEn="errorspace" keywordsUrl="" rule="" lookup="）k" content="） k"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3003216" bkName="bkReivew3003216" note="0" index="32"/>
  <Review inspectType="多余空格" inspectCategory="可疑" errorCategory="4" operate="1" amend="0" amendTime="" amendContent="" amendColor="" joinJudianRef="" inspectTypeEn="errorspace" keywordsUrl="" rule="" lookup="s（" content="s （"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23451" bkName="bkReivew23451" note="0" index="38"/>
  <Review inspectType="多余空格" inspectCategory="可疑" errorCategory="4" operate="1" amend="0" amendTime="" amendContent="" amendColor="" joinJudianRef="" inspectTypeEn="errorspace" keywordsUrl="" rule="" lookup="）k" content="） k"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3080451" bkName="bkReivew3080451" note="0" index="51"/>
  <Review inspectType="多余空格" inspectCategory="可疑" errorCategory="4" operate="1" amend="0" amendTime="" amendContent="" amendColor="" joinJudianRef="" inspectTypeEn="errorspace" keywordsUrl="" rule="" lookup="）k" content="） k"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2171540" bkName="bkReivew2171540" note="0" index="72"/>
  <Review inspectType="多余空格" inspectCategory="可疑" errorCategory="4" operate="1" amend="0" amendTime="" amendContent="" amendColor="" joinJudianRef="" inspectTypeEn="errorspace" keywordsUrl="" rule="" lookup="s（" content="s （"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1161201" bkName="bkReivew1161201" note="0" index="78"/>
  <Review inspectType="多余空格" inspectCategory="可疑" errorCategory="4" operate="1" amend="0" amendTime="" amendContent="" amendColor="" joinJudianRef="" inspectTypeEn="errorspace" keywordsUrl="" rule="" lookup="）k" content="） k"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3171253" bkName="bkReivew3171253" note="0" index="90"/>
  <Review inspectType="多余空格" inspectCategory="可疑" errorCategory="4" operate="1" amend="0" amendTime="" amendContent="" amendColor="" joinJudianRef="" inspectTypeEn="errorspace" keywordsUrl="" rule="" lookup="s（" content="s （"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1100200" bkName="bkReivew1100200" note="0" index="120"/>
  <Review inspectType="多余空格" inspectCategory="可疑" errorCategory="4" operate="1" amend="0" amendTime="" amendContent="" amendColor="" joinJudianRef="" inspectTypeEn="errorspace" keywordsUrl="" rule="" lookup="）c" content="） c"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1151123" bkName="bkReivew1151123" note="0" index="167"/>
  <Review inspectType="多余空格" inspectCategory="可疑" errorCategory="4" operate="1" amend="0" amendTime="" amendContent="" amendColor="" joinJudianRef="" inspectTypeEn="errorspace" keywordsUrl="" rule="" lookup="s（" content="s （"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2033510" bkName="bkReivew2033510" note="0" index="175"/>
  <Review inspectType="多余空格" inspectCategory="可疑" errorCategory="4" operate="1" amend="0" amendTime="" amendContent="" amendColor="" joinJudianRef="" inspectTypeEn="errorspace" keywordsUrl="" rule="" lookup="）c" content="） c"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143614" bkName="bkReivew143614" note="0" index="188"/>
  <Review inspectType="多余空格" inspectCategory="可疑" errorCategory="4" operate="1" amend="0" amendTime="" amendContent="" amendColor="" joinJudianRef="" inspectTypeEn="errorspace" keywordsUrl="" rule="" lookup="s（" content="s （"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2326" bkName="bkReivew2326" note="0" index="233"/>
  <Review inspectType="多余空格" inspectCategory="可疑" errorCategory="4" operate="1" amend="0" amendTime="" amendContent="" amendColor="" joinJudianRef="" inspectTypeEn="errorspace" keywordsUrl="" rule="" lookup="s（" content="s （"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2073631" bkName="bkReivew2073631" note="0" index="284"/>
  <Review inspectType="多余空格" inspectCategory="可疑" errorCategory="4" operate="1" amend="0" amendTime="" amendContent="" amendColor="" joinJudianRef="" inspectTypeEn="errorspace" keywordsUrl="" rule="" lookup="s（" content="s （" source="疑似存在多余的空格" errorType="16" AllIndex="0" context="结果  干预3周后，试验组患者的最大握力[（20.65±3.73） kg vs （15.66±3.65） kg]、最大捏力[（7.35±1.67） kg vs （4.59±1.54） kg]、FMA-UE评分[（51.47±6.01）分 vs （43.66±5.89）分]、左侧大脑中动脉（L-MCA）血流速度[（68.22±4.01） cm/s vs （60.59±3.46） cm/s]、右侧大脑中动脉（R-MCA）血流速度[（69.54±3.65）cm/s vs （61.26±3.35）cm/s]及基底动脉（BA）血流速度[（48.23±3.02）cm/s vs （40.78±3.19）cm/s]均显著高于对照组患者，MAS评分[（1.13±0.11）分 vs （1.38±0.13）分]显著低于对照组患者（t=6.624、8.417、6.430、9.980、11.579、11.750、10.171，P均&lt;0.001）。" id="53324" bkName="bkReivew53324" note="0" index="334"/>
  <Review inspectType="标点符号检查" inspectCategory="可疑" errorCategory="4" operate="1" amend="0" amendTime="" amendContent="" amendColor="" joinJudianRef="" inspectTypeEn="punctuation" keywordsUrl="" rule="" lookup="。" content="." source="标点符号错用" errorType="118" AllIndex="0" context="【Abstract】Objective To investigate the clinical efficacy and safety of functional electrical stimulation (FES) combined with asymmetric isokinetic muscle strength training in patients with post-stroke hemiplegia. Method 96 patients with post-stroke hemiplegia admitted between August 2020 and December 2023 were prospectively enrolled and randomly assigned to control (n=48, sham FES with asymmetric isokinetic training) or treatment group (n=48, FES with asymmetric isokinetic training) for 3 weeks. Handgrip strength, pinch strength, wrist flexion/extension strength, and cerebral hemodynamics were evaluated using dynamometry, pinch gauge, isokinetic testing system, and transcranial Doppler ultrasound. Motor function and muscle tone were assessed using the Fugl-Meyer Assessment-Upper Extremity (FMA-UE) and Modified Ashworth Scale (MAS). Independent samples t-test was employed for inter-group comparisons. Result Following intervention, the treatment group exhibited significantly higher maximum grip strength (20.65±3.73 kg vs 15.66±3.65 kg), pinch strength (7.35±1.67 kg vs 4.59±1.54 kg), and FMA-UE scores (51.47±6.01 vs 43.66±5.89) compared with controls (t=6.624, 8.417, and 6.430, respectively; all P&lt;0.001). Cerebral hemodynamic parameters, including flow velocities of the left middle cerebral artery (68.22±4.01 cm/s vs 60.59±3.46 cm/s), right middle cerebral artery (69.54±3.65 cm/s vs 61.26±3.35 cm/s), and basilar artery (48.23±3.02 cm/s vs 40.78±3.19 cm/s), were all significantly elevated in the treatment group (t=9.980, 11.579, and 11.750, respectively; all P&lt;0.001). Additionally, MAS scores were significantly lower in the treatment group (1.13±0.11 vs 1.38±0.13; t=10.171, P&lt;0.001). Both interventions were well tolerated without adverse events. Conclusion FES combined with asymmetric isokinetic training significantly enhances hand strength, reduces muscle tone, and improves cerebral hemodynamics in post-stroke hemiplegic patients, demonstrating favorable safety profile." id="2031800" bkName="bkReivew2031800" note="0" index="842"/>
  <Review inspectType="英文检查" inspectCategory="可疑" errorCategory="4" operate="1" amend="0" amendTime="" amendContent="" amendColor="" joinJudianRef="" inspectTypeEn="englishmodel" keywordsUrl="" rule="" lookup="sample" content="samples" source="" errorType="2" AllIndex="0" context="【Abstract】Objective To investigate the clinical efficacy and safety of functional electrical stimulation (FES) combined with asymmetric isokinetic muscle strength training in patients with post-stroke hemiplegia. Method 96 patients with post-stroke hemiplegia admitted between August 2020 and December 2023 were prospectively enrolled and randomly assigned to control (n=48, sham FES with asymmetric isokinetic training) or treatment group (n=48, FES with asymmetric isokinetic training) for 3 weeks. Handgrip strength, pinch strength, wrist flexion/extension strength, and cerebral hemodynamics were evaluated using dynamometry, pinch gauge, isokinetic testing system, and transcranial Doppler ultrasound. Motor function and muscle tone were assessed using the Fugl-Meyer Assessment-Upper Extremity (FMA-UE) and Modified Ashworth Scale (MAS). Independent samples t-test was employed for inter-group comparisons. Result Following intervention, the treatment group exhibited significantly higher maximum grip strength (20.65±3.73 kg vs 15.66±3.65 kg), pinch strength (7.35±1.67 kg vs 4.59±1.54 kg), and FMA-UE scores (51.47±6.01 vs 43.66±5.89) compared with controls (t=6.624, 8.417, and 6.430, respectively; all P&lt;0.001). Cerebral hemodynamic parameters, including flow velocities of the left middle cerebral artery (68.22±4.01 cm/s vs 60.59±3.46 cm/s), right middle cerebral artery (69.54±3.65 cm/s vs 61.26±3.35 cm/s), and basilar artery (48.23±3.02 cm/s vs 40.78±3.19 cm/s), were all significantly elevated in the treatment group (t=9.980, 11.579, and 11.750, respectively; all P&lt;0.001). Additionally, MAS scores were significantly lower in the treatment group (1.13±0.11 vs 1.38±0.13; t=10.171, P&lt;0.001). Both interventions were well tolerated without adverse events. Conclusion FES combined with asymmetric isokinetic training significantly enhances hand strength, reduces muscle tone, and improves cerebral hemodynamics in post-stroke hemiplegic patients, demonstrating favorable safety profile." id="3032341" bkName="bkReivew3032341" note="0" index="856"/>
  <Review inspectType="标点符号检查" inspectCategory="可疑" errorCategory="4" operate="1" amend="0" amendTime="" amendContent="" amendColor="" joinJudianRef="" inspectTypeEn="punctuation" keywordsUrl="" rule="" lookup="。" content="." source="标点符号错用" errorType="118" AllIndex="0" context="【Abstract】Objective To investigate the clinical efficacy and safety of functional electrical stimulation (FES) combined with asymmetric isokinetic muscle strength training in patients with post-stroke hemiplegia. Method 96 patients with post-stroke hemiplegia admitted between August 2020 and December 2023 were prospectively enrolled and randomly assigned to control (n=48, sham FES with asymmetric isokinetic training) or treatment group (n=48, FES with asymmetric isokinetic training) for 3 weeks. Handgrip strength, pinch strength, wrist flexion/extension strength, and cerebral hemodynamics were evaluated using dynamometry, pinch gauge, isokinetic testing system, and transcranial Doppler ultrasound. Motor function and muscle tone were assessed using the Fugl-Meyer Assessment-Upper Extremity (FMA-UE) and Modified Ashworth Scale (MAS). Independent samples t-test was employed for inter-group comparisons. Result Following intervention, the treatment group exhibited significantly higher maximum grip strength (20.65±3.73 kg vs 15.66±3.65 kg), pinch strength (7.35±1.67 kg vs 4.59±1.54 kg), and FMA-UE scores (51.47±6.01 vs 43.66±5.89) compared with controls (t=6.624, 8.417, and 6.430, respectively; all P&lt;0.001). Cerebral hemodynamic parameters, including flow velocities of the left middle cerebral artery (68.22±4.01 cm/s vs 60.59±3.46 cm/s), right middle cerebral artery (69.54±3.65 cm/s vs 61.26±3.35 cm/s), and basilar artery (48.23±3.02 cm/s vs 40.78±3.19 cm/s), were all significantly elevated in the treatment group (t=9.980, 11.579, and 11.750, respectively; all P&lt;0.001). Additionally, MAS scores were significantly lower in the treatment group (1.13±0.11 vs 1.38±0.13; t=10.171, P&lt;0.001). Both interventions were well tolerated without adverse events. Conclusion FES combined with asymmetric isokinetic training significantly enhances hand strength, reduces muscle tone, and improves cerebral hemodynamics in post-stroke hemiplegic patients, demonstrating favorable safety profile." id="1172034" bkName="bkReivew1172034" note="0" index="1220"/>
  <Review inspectType="标点符号检查" inspectCategory="可疑" errorCategory="4" operate="1" amend="0" amendTime="" amendContent="" amendColor="" joinJudianRef="" inspectTypeEn="punctuation" keywordsUrl="" rule="" lookup="。" content="." source="标点符号错用" errorType="118" AllIndex="0" context="【Abstract】Objective To investigate the clinical efficacy and safety of functional electrical stimulation (FES) combined with asymmetric isokinetic muscle strength training in patients with post-stroke hemiplegia. Method 96 patients with post-stroke hemiplegia admitted between August 2020 and December 2023 were prospectively enrolled and randomly assigned to control (n=48, sham FES with asymmetric isokinetic training) or treatment group (n=48, FES with asymmetric isokinetic training) for 3 weeks. Handgrip strength, pinch strength, wrist flexion/extension strength, and cerebral hemodynamics were evaluated using dynamometry, pinch gauge, isokinetic testing system, and transcranial Doppler ultrasound. Motor function and muscle tone were assessed using the Fugl-Meyer Assessment-Upper Extremity (FMA-UE) and Modified Ashworth Scale (MAS). Independent samples t-test was employed for inter-group comparisons. Result Following intervention, the treatment group exhibited significantly higher maximum grip strength (20.65±3.73 kg vs 15.66±3.65 kg), pinch strength (7.35±1.67 kg vs 4.59±1.54 kg), and FMA-UE scores (51.47±6.01 vs 43.66±5.89) compared with controls (t=6.624, 8.417, and 6.430, respectively; all P&lt;0.001). Cerebral hemodynamic parameters, including flow velocities of the left middle cerebral artery (68.22±4.01 cm/s vs 60.59±3.46 cm/s), right middle cerebral artery (69.54±3.65 cm/s vs 61.26±3.35 cm/s), and basilar artery (48.23±3.02 cm/s vs 40.78±3.19 cm/s), were all significantly elevated in the treatment group (t=9.980, 11.579, and 11.750, respectively; all P&lt;0.001). Additionally, MAS scores were significantly lower in the treatment group (1.13±0.11 vs 1.38±0.13; t=10.171, P&lt;0.001). Both interventions were well tolerated without adverse events. Conclusion FES combined with asymmetric isokinetic training significantly enhances hand strength, reduces muscle tone, and improves cerebral hemodynamics in post-stroke hemiplegic patients, demonstrating favorable safety profile." id="3173416" bkName="bkReivew3173416" note="0" index="1589"/>
  <Review inspectType="标点符号检查" inspectCategory="可疑" errorCategory="4" operate="1" amend="0" amendTime="" amendContent="" amendColor="" joinJudianRef="" inspectTypeEn="punctuation" keywordsUrl="" rule="" lookup="。" content="." source="标点符号错用" errorType="118" AllIndex="0" context="【Abstract】Objective To investigate the clinical efficacy and safety of functional electrical stimulation (FES) combined with asymmetric isokinetic muscle strength training in patients with post-stroke hemiplegia. Method 96 patients with post-stroke hemiplegia admitted between August 2020 and December 2023 were prospectively enrolled and randomly assigned to control (n=48, sham FES with asymmetric isokinetic training) or treatment group (n=48, FES with asymmetric isokinetic training) for 3 weeks. Handgrip strength, pinch strength, wrist flexion/extension strength, and cerebral hemodynamics were evaluated using dynamometry, pinch gauge, isokinetic testing system, and transcranial Doppler ultrasound. Motor function and muscle tone were assessed using the Fugl-Meyer Assessment-Upper Extremity (FMA-UE) and Modified Ashworth Scale (MAS). Independent samples t-test was employed for inter-group comparisons. Result Following intervention, the treatment group exhibited significantly higher maximum grip strength (20.65±3.73 kg vs 15.66±3.65 kg), pinch strength (7.35±1.67 kg vs 4.59±1.54 kg), and FMA-UE scores (51.47±6.01 vs 43.66±5.89) compared with controls (t=6.624, 8.417, and 6.430, respectively; all P&lt;0.001). Cerebral hemodynamic parameters, including flow velocities of the left middle cerebral artery (68.22±4.01 cm/s vs 60.59±3.46 cm/s), right middle cerebral artery (69.54±3.65 cm/s vs 61.26±3.35 cm/s), and basilar artery (48.23±3.02 cm/s vs 40.78±3.19 cm/s), were all significantly elevated in the treatment group (t=9.980, 11.579, and 11.750, respectively; all P&lt;0.001). Additionally, MAS scores were significantly lower in the treatment group (1.13±0.11 vs 1.38±0.13; t=10.171, P&lt;0.001). Both interventions were well tolerated without adverse events. Conclusion FES combined with asymmetric isokinetic training significantly enhances hand strength, reduces muscle tone, and improves cerebral hemodynamics in post-stroke hemiplegic patients, demonstrating favorable safety profile." id="3101204" bkName="bkReivew3101204" note="0" index="1707"/>
  <Review inspectType="英文检查" inspectCategory="可疑" errorCategory="4" operate="1" amend="0" amendTime="" amendContent="" amendColor="" joinJudianRef="" inspectTypeEn="englishmodel" keywordsUrl="" rule="" lookup="demonstrating a" content="demonstrating" source="" errorType="2" AllIndex="0" context="【Abstract】Objective To investigate the clinical efficacy and safety of functional electrical stimulation (FES) combined with asymmetric isokinetic muscle strength training in patients with post-stroke hemiplegia. Method 96 patients with post-stroke hemiplegia admitted between August 2020 and December 2023 were prospectively enrolled and randomly assigned to control (n=48, sham FES with asymmetric isokinetic training) or treatment group (n=48, FES with asymmetric isokinetic training) for 3 weeks. Handgrip strength, pinch strength, wrist flexion/extension strength, and cerebral hemodynamics were evaluated using dynamometry, pinch gauge, isokinetic testing system, and transcranial Doppler ultrasound. Motor function and muscle tone were assessed using the Fugl-Meyer Assessment-Upper Extremity (FMA-UE) and Modified Ashworth Scale (MAS). Independent samples t-test was employed for inter-group comparisons. Result Following intervention, the treatment group exhibited significantly higher maximum grip strength (20.65±3.73 kg vs 15.66±3.65 kg), pinch strength (7.35±1.67 kg vs 4.59±1.54 kg), and FMA-UE scores (51.47±6.01 vs 43.66±5.89) compared with controls (t=6.624, 8.417, and 6.430, respectively; all P&lt;0.001). Cerebral hemodynamic parameters, including flow velocities of the left middle cerebral artery (68.22±4.01 cm/s vs 60.59±3.46 cm/s), right middle cerebral artery (69.54±3.65 cm/s vs 61.26±3.35 cm/s), and basilar artery (48.23±3.02 cm/s vs 40.78±3.19 cm/s), were all significantly elevated in the treatment group (t=9.980, 11.579, and 11.750, respectively; all P&lt;0.001). Additionally, MAS scores were significantly lower in the treatment group (1.13±0.11 vs 1.38±0.13; t=10.171, P&lt;0.001). Both interventions were well tolerated without adverse events. Conclusion FES combined with asymmetric isokinetic training significantly enhances hand strength, reduces muscle tone, and improves cerebral hemodynamics in post-stroke hemiplegic patients, demonstrating favorable safety profile." id="2051" bkName="bkReivew2051" note="0" index="1962"/>
  <Review inspectType="译文检查" inspectCategory="错误" errorCategory="1" operate="1" amend="0" amendTime="" amendContent="" amendColor="" joinJudianRef="" inspectTypeEn="transerror" keywordsUrl="" rule="" lookup="functional electric stimulation" content="functional electrical stimulation" source="" errorType="1" AllIndex="0" context="不对称性等速肌力训练和功能性电刺激（functional electrical stimulation，FES）是脑卒中康复的常用方法[7-8]。" id="161206" bkName="bkReivew161206" note="0" index="18"/>
  <Review inspectType="标点符号检查" inspectCategory="可疑" errorCategory="4" operate="0" amend="0" amendTime="" amendContent="" amendColor="" joinJudianRef="" inspectTypeEn="punctuation" keywordsUrl="" rule="" lookup="建议写作“数值%+连接符+数值%”" content="1-15%" source="" errorType="1" AllIndex="0" context="为达到更高的检验效能（Power&gt;0.9），并充分考虑本研究为多指标分析及可能存在的脱落风险，经计算后考虑15%的脱落率，n=22/（1-15%）≈26例。" id="1111633" bkName="bkReivew1111633" note="0" index="67"/>
  <Review inspectType="多余空格" inspectCategory="可疑" errorCategory="4" operate="1" amend="0" amendTime="" amendContent="" amendColor="" joinJudianRef="" inspectTypeEn="errorspace" keywordsUrl="" rule="" lookup=".对" content=". 对" source="疑似存在多余的空格" errorType="16" AllIndex="0" context="1. 对照组：接受不对称性等速肌力训练联合FES假刺激。" id="2180456" bkName="bkReivew2180456" note="0" index="1"/>
  <Review inspectType="易错词检查" inspectCategory="错误" errorCategory="1" operate="1" amend="0" amendTime="" amendContent="" amendColor="" joinJudianRef="" inspectTypeEn="errorwords" keywordsUrl="" rule="" lookup="练合" content="联合" source="" errorType="0" AllIndex="0" context="1. 对照组：接受不对称性等速肌力训练联合FES假刺激。" id="142321" bkName="bkReivew142321" note="0" index="19"/>
  <Review inspectType="多余空格" inspectCategory="可疑" errorCategory="4" operate="1" amend="0" amendTime="" amendContent="" amendColor="" joinJudianRef="" inspectTypeEn="errorspace" keywordsUrl="" rule="" lookup=".试" content=". 试" source="疑似存在多余的空格" errorType="16" AllIndex="0" context="2. 试验组：接受FES联合不对称性等速肌力训练。" id="3021204" bkName="bkReivew3021204" note="0" index="1"/>
  <Review inspectType="多余空格" inspectCategory="可疑" errorCategory="4" operate="1" amend="0" amendTime="" amendContent="" amendColor="" joinJudianRef="" inspectTypeEn="errorspace" keywordsUrl="" rule="" lookup=".手" content=". 手" source="疑似存在多余的空格" errorType="16" AllIndex="0" context="1. 手部力量：分别于干预前和干预3周后，采用电子握力测试仪[型号：Jamar Plus+，美国Jamar (Performance Health)]检测2组患者的最大握力，采用液压捏力计[型号：Jamar Hydraulic，美国Jamar (Performance Health)]检测2组患者的最大捏力。" id="1042042" bkName="bkReivew1042042" note="0" index="1"/>
  <Review inspectType="多余空格" inspectCategory="可疑" errorCategory="4" operate="1" amend="0" amendTime="" amendContent="" amendColor="" joinJudianRef="" inspectTypeEn="errorspace" keywordsUrl="" rule="" lookup="r(" content="r (" source="疑似存在多余的空格" errorType="16" AllIndex="0" context="1. 手部力量：分别于干预前和干预3周后，采用电子握力测试仪[型号：Jamar Plus+，美国Jamar (Performance Health)]检测2组患者的最大握力，采用液压捏力计[型号：Jamar Hydraulic，美国Jamar (Performance Health)]检测2组患者的最大捏力。" id="3003320" bkName="bkReivew3003320" note="0" index="52"/>
  <Review inspectType="多余空格" inspectCategory="可疑" errorCategory="4" operate="1" amend="0" amendTime="" amendContent="" amendColor="" joinJudianRef="" inspectTypeEn="errorspace" keywordsUrl="" rule="" lookup="r(" content="r (" source="疑似存在多余的空格" errorType="16" AllIndex="0" context="1. 手部力量：分别于干预前和干预3周后，采用电子握力测试仪[型号：Jamar Plus+，美国Jamar (Performance Health)]检测2组患者的最大握力，采用液压捏力计[型号：Jamar Hydraulic，美国Jamar (Performance Health)]检测2组患者的最大捏力。" id="2050032" bkName="bkReivew2050032" note="0" index="120"/>
  <Review inspectType="多余空格" inspectCategory="可疑" errorCategory="4" operate="1" amend="0" amendTime="" amendContent="" amendColor="" joinJudianRef="" inspectTypeEn="errorspace" keywordsUrl="" rule="" lookup=".运" content=". 运" source="疑似存在多余的空格" errorType="16" AllIndex="0" context="2. 运动功能和肌张力：分别于干预前和干预3周后，采用FMA-UE评分评估2组患者的上肢运动功能；" id="3150320" bkName="bkReivew3150320" note="0" index="1"/>
  <Review inspectType="多余空格" inspectCategory="可疑" errorCategory="4" operate="1" amend="0" amendTime="" amendContent="" amendColor="" joinJudianRef="" inspectTypeEn="errorspace" keywordsUrl="" rule="" lookup=".腕" content=". 腕" source="疑似存在多余的空格" errorType="16" AllIndex="0" context="3. 腕屈伸力量：分别于干预前和干预3周后，采用等速肌力训练系统（型号：Iso Med2000，德国D&amp;R Ferstl GmbH），通过标准肘屈伸等速向心收缩测试程序检测2组患者的峰力矩（peak torque，PT）、总功率（total work，TW）、平均功率（average power，AP）。" id="1131142" bkName="bkReivew1131142" note="0" index="1"/>
  <Review inspectType="多余空格" inspectCategory="可疑" errorCategory="4" operate="1" amend="0" amendTime="" amendContent="" amendColor="" joinJudianRef="" inspectTypeEn="errorspace" keywordsUrl="" rule="" lookup=".脑" content=". 脑" source="疑似存在多余的空格" errorType="16" AllIndex="0" context="4. 脑血流动力学：分别于干预前和干预3周后，采用经颅多普勒超声[transcranial Doppler，TCD；" id="2081412" bkName="bkReivew2081412" note="0" index="1"/>
  <Review inspectType="多余空格" inspectCategory="可疑" errorCategory="4" operate="1" amend="0" amendTime="" amendContent="" amendColor="" joinJudianRef="" inspectTypeEn="errorspace" keywordsUrl="" rule="" lookup=".安" content=". 安" source="疑似存在多余的空格" errorType="16" AllIndex="0" context="5. 安全性：观察并记录2组患者干预期间不良反应的发生情况。" id="1122631" bkName="bkReivew1122631" note="0" index="1"/>
  <Review inspectType="多余空格" inspectCategory="可疑" errorCategory="4" operate="1" amend="0" amendTime="" amendContent="" amendColor="" joinJudianRef="" inspectTypeEn="errorspace" keywordsUrl="" rule="" lookup="22" content="2  2" source="疑似存在多余的空格" errorType="16" AllIndex="0" context="表2  2组脑卒中后偏瘫患者手部力量比较（kg，）" id="1100340" bkName="bkReivew1100340" note="0" index="1"/>
  <Review inspectType="多余空格" inspectCategory="可疑" errorCategory="4" operate="1" amend="0" amendTime="" amendContent="" amendColor="" joinJudianRef="" inspectTypeEn="errorspace" keywordsUrl="" rule="" lookup="32" content="3  2" source="疑似存在多余的空格" errorType="16" AllIndex="0" context="表3  2组脑卒中后偏瘫患者运动功能（FMA-UA评分）和肌张力（MAS评分）比较（分，）" id="10240" bkName="bkReivew10240" note="0" index="1"/>
  <Review inspectType="多余空格" inspectCategory="可疑" errorCategory="4" operate="1" amend="0" amendTime="" amendContent="" amendColor="" joinJudianRef="" inspectTypeEn="errorspace" keywordsUrl="" rule="" lookup="42" content="4  2" source="疑似存在多余的空格" errorType="16" AllIndex="0" context="表4  2组脑卒中后偏瘫患者腕屈伸力量比较（）" id="71822" bkName="bkReivew71822" note="0" index="1"/>
  <Review inspectType="多余空格" inspectCategory="可疑" errorCategory="4" operate="1" amend="0" amendTime="" amendContent="" amendColor="" joinJudianRef="" inspectTypeEn="errorspace" keywordsUrl="" rule="" lookup="52" content="5  2" source="疑似存在多余的空格" errorType="16" AllIndex="0" context="表5  2组脑卒中后偏瘫患者脑血流动力学比较（cm/s，）" id="171521" bkName="bkReivew171521" note="0" index="1"/>
  <Review inspectType="英文检查" inspectCategory="可疑" errorCategory="4" operate="1" amend="0" amendTime="" amendContent="" amendColor="" joinJudianRef="" inspectTypeEn="englishmodel" keywordsUrl="" rule="" lookup="into the" content="into" source="" errorType="2" AllIndex="0" context="Zheng P, Shi Y, Qu H, et al. Effect of ultrasound-guided injection of botulinum toxin type A into shoulder joint cavity on shoulder pain in poststroke patients: study protocol for a randomized controlled trial [J]. Trials, 2024, 25(1): 848-853. " id="2100742" bkName="bkReivew2100742" note="0" index="93"/>
  <Review inspectType="繁简误用" inspectCategory="错误" errorCategory="1" operate="1" amend="0" amendTime="" amendContent="" amendColor="" joinJudianRef="" inspectTypeEn="traditionalchinese" keywordsUrl="" rule="" lookup="赟" content="贇" source="《通用规范汉字表》" errorType="0" AllIndex="0" context="周靓贇, 曲冰, 张杰, 等. 基于等速肌力测试探究电针治疗老年膝骨关节炎对下肢肌力的影响研究 [J]. 老年医学与保健, 2024, 30(3): 840-845. " id="3022604" bkName="bkReivew3022604" note="0" index="2"/>
  <Review inspectType="落马官员" inspectCategory="可疑" errorCategory="2" operate="0" amend="0" amendTime="" amendContent="" amendColor="" joinJudianRef="" inspectTypeEn="fallen" keywordsUrl="" rule="" lookup="落马官员" content="张黎明" source="敏感词类型：落马官员；建议规则：中国华录集团有限公司原总经理张黎明接受审查调查2021-08-06；" errorType="2" AllIndex="0" context="李爽, 张黎明, 徐晶, 等. 脑卒中后肌张力增高研究进展 [J]. 中国实用神经疾病杂志, 2023, 26(9): 1173-1179. " id="43511" bkName="bkReivew43511" note="0" index="4"/>
</ReviewRoot>
</file>

<file path=customXml/item4.xml><?xml version="1.0" encoding="utf-8"?>
<ReviewRoot xmlns="http://www.founder.com/format">
  <Review inspectType="全半角检查" inspectCategory="错误" errorCategory="1" operate="1" amend="0" amendTime="" amendContent="" amendColor="" joinJudianRef="" inspectTypeEn="fullshaped" keywordsUrl="" rule=":" lookup=":" content="：" source="" errorType="" AllIndex="0" context="DOI：10.3877/cma.j.issn.1673-9248.2026.XX.XXX" id="51143" bkName="bkFormat51143" note="0" index="3"/>
  <Review inspectType="全半角检查" inspectCategory="错误" errorCategory="1" operate="1" amend="0" amendTime="" amendContent="" amendColor="" joinJudianRef="" inspectTypeEn="fullshaped" keywordsUrl="" rule=":" lookup=":" content="：" source="" errorType="" AllIndex="0" context="通信作者：王丛笑，Email：wangcongxiao66@163.com" id="3062244" bkName="bkFormat3062244" note="0" index="14"/>
  <Review inspectType="全半角检查" inspectCategory="错误" errorCategory="1" operate="1" amend="0" amendTime="" amendContent="" amendColor="" joinJudianRef="" inspectTypeEn="fullshaped" keywordsUrl="" rule="," lookup="," content="，" source="" errorType="" AllIndex="0" context="不对称性等速肌力训练和功能性电刺激（functional electrical stimulation，FES）是脑卒中康复的常用方法[7-8]。" id="1121503" bkName="bkFormat1121503" note="0" index="51"/>
  <Review inspectType="全半角检查" inspectCategory="错误" errorCategory="1" operate="1" amend="0" amendTime="" amendContent="" amendColor="" joinJudianRef="" inspectTypeEn="fullshaped" keywordsUrl="" rule="," lookup="," content="，" source="" errorType="" AllIndex="0" context="基于预实验Fugl-Meyer评估上肢部分（Fugl-Meyer assessment-UA，FMA-UA）评分预期改善差异（σ=6.1，Δ=5.2）[10]，采用两独立样本t检验公式计算样本量。" id="1020414" bkName="bkFormat1020414" note="0" index="46"/>
  <Review inspectType="全半角检查" inspectCategory="错误" errorCategory="1" operate="1" amend="0" amendTime="" amendContent="" amendColor="" joinJudianRef="" inspectTypeEn="fullshaped" keywordsUrl="" rule="(" lookup="(" content="（" source="" errorType="" AllIndex="0" context="n=2（Zα/2+Zβ）2σ2/Δ2                                       （1）" id="2180506" bkName="bkFormat2180506" note="0" index="3"/>
  <Review inspectType="全半角检查" inspectCategory="错误" errorCategory="1" operate="1" amend="0" amendTime="" amendContent="" amendColor="" joinJudianRef="" inspectTypeEn="fullshaped" keywordsUrl="" rule=")" lookup=")" content="）" source="" errorType="" AllIndex="0" context="n=2（Zα/2+Zβ）2σ2/Δ2                                       （1）" id="1113142" bkName="bkFormat1113142" note="0" index="11"/>
  <Review inspectType="全半角检查" inspectCategory="错误" errorCategory="1" operate="1" amend="0" amendTime="" amendContent="" amendColor="" joinJudianRef="" inspectTypeEn="fullshaped" keywordsUrl="" rule="(" lookup="(" content="（" source="" errorType="" AllIndex="0" context="n=2（Zα/2+Zβ）2σ2/Δ2                                       （1）" id="1123244" bkName="bkFormat1123244" note="0" index="57"/>
  <Review inspectType="全半角检查" inspectCategory="错误" errorCategory="1" operate="1" amend="0" amendTime="" amendContent="" amendColor="" joinJudianRef="" inspectTypeEn="fullshaped" keywordsUrl="" rule="," lookup="," content="，" source="" errorType="" AllIndex="0" context="根据患者每次训练后疲劳程度和疼痛评分[视觉模拟评分法（visual analogue scale，VAS）＜3分]动态调整阻力水平。" id="3121041" bkName="bkFormat3121041" note="0" index="48"/>
  <Review inspectType="全半角检查" inspectCategory="错误" errorCategory="1" operate="1" amend="0" amendTime="" amendContent="" amendColor="" joinJudianRef="" inspectTypeEn="fullshaped" keywordsUrl="" rule="," lookup="," content="，" source="" errorType="" AllIndex="0" context="采用改良Ashworth量表（modified Ashworth scale，MAS）[11]评估2组患者上肢肘屈肌肌张力。" id="2020001" bkName="bkFormat2020001" note="0" index="38"/>
  <Review inspectType="全半角检查" inspectCategory="错误" errorCategory="1" operate="1" amend="0" amendTime="" amendContent="" amendColor="" joinJudianRef="" inspectTypeEn="fullshaped" keywordsUrl="" rule="," lookup="," content="，" source="" errorType="" AllIndex="0" context="3. 腕屈伸力量：分别于干预前和干预3周后，采用等速肌力训练系统（型号：Iso Med2000，德国D&amp;R Ferstl GmbH），通过标准肘屈伸等速向心收缩测试程序检测2组患者的峰力矩（peak torque，PT）、总功率（total work，TW）、平均功率（average power，AP）。" id="72355" bkName="bkFormat72355" note="0" index="106"/>
  <Review inspectType="全半角检查" inspectCategory="错误" errorCategory="1" operate="1" amend="0" amendTime="" amendContent="" amendColor="" joinJudianRef="" inspectTypeEn="fullshaped" keywordsUrl="" rule="," lookup="," content="，" source="" errorType="" AllIndex="0" context="3. 腕屈伸力量：分别于干预前和干预3周后，采用等速肌力训练系统（型号：Iso Med2000，德国D&amp;R Ferstl GmbH），通过标准肘屈伸等速向心收缩测试程序检测2组患者的峰力矩（peak torque，PT）、总功率（total work，TW）、平均功率（average power，AP）。" id="2161040" bkName="bkFormat2161040" note="0" index="125"/>
  <Review inspectType="全半角检查" inspectCategory="错误" errorCategory="1" operate="1" amend="0" amendTime="" amendContent="" amendColor="" joinJudianRef="" inspectTypeEn="fullshaped" keywordsUrl="" rule="," lookup="," content="，" source="" errorType="" AllIndex="0" context="3. 腕屈伸力量：分别于干预前和干预3周后，采用等速肌力训练系统（型号：Iso Med2000，德国D&amp;R Ferstl GmbH），通过标准肘屈伸等速向心收缩测试程序检测2组患者的峰力矩（peak torque，PT）、总功率（total work，TW）、平均功率（average power，AP）。" id="42" bkName="bkFormat42" note="0" index="148"/>
  <Review inspectType="全半角检查" inspectCategory="错误" errorCategory="1" operate="1" amend="0" amendTime="" amendContent="" amendColor="" joinJudianRef="" inspectTypeEn="fullshaped" keywordsUrl="" rule="," lookup="," content="，" source="" errorType="" AllIndex="0" context="4. 脑血流动力学：分别于干预前和干预3周后，采用经颅多普勒超声[transcranial Doppler，TCD；" id="2160433" bkName="bkFormat2160433" note="0" index="53"/>
  <Review inspectType="全半角检查" inspectCategory="错误" errorCategory="1" operate="1" amend="0" amendTime="" amendContent="" amendColor="" joinJudianRef="" inspectTypeEn="fullshaped" keywordsUrl="" rule="," lookup="," content="，" source="" errorType="" AllIndex="0" context="型号：Doppler-Box X，德国DWL公司]测定2组患者的左大脑中动脉（left middle cerebral artery，L-MCA）、右大脑中动脉（right middle cerebral artery，R-MCA）和基底动脉（basilar artery，BA）的脑血流速度。" id="3110700" bkName="bkFormat3110700" note="0" index="66"/>
  <Review inspectType="全半角检查" inspectCategory="错误" errorCategory="1" operate="1" amend="0" amendTime="" amendContent="" amendColor="" joinJudianRef="" inspectTypeEn="fullshaped" keywordsUrl="" rule="," lookup="," content="，" source="" errorType="" AllIndex="0" context="型号：Doppler-Box X，德国DWL公司]测定2组患者的左大脑中动脉（left middle cerebral artery，L-MCA）、右大脑中动脉（right middle cerebral artery，R-MCA）和基底动脉（basilar artery，BA）的脑血流速度。" id="1051454" bkName="bkFormat1051454" note="0" index="109"/>
  <Review inspectType="全半角检查" inspectCategory="错误" errorCategory="1" operate="1" amend="0" amendTime="" amendContent="" amendColor="" joinJudianRef="" inspectTypeEn="fullshaped" keywordsUrl="" rule="," lookup="," content="，" source="" errorType="" AllIndex="0" context="型号：Doppler-Box X，德国DWL公司]测定2组患者的左大脑中动脉（left middle cerebral artery，L-MCA）、右大脑中动脉（right middle cerebral artery，R-MCA）和基底动脉（basilar artery，BA）的脑血流速度。" id="3141346" bkName="bkFormat3141346" note="0" index="136"/>
  <Review inspectType="全半角检查" inspectCategory="错误" errorCategory="1" operate="1" amend="0" amendTime="" amendContent="" amendColor="" joinJudianRef="" inspectTypeEn="fullshaped" keywordsUrl="" rule="(" lookup="(" content="（" source="" errorType="" AllIndex="0" context="屈肌PT（N·m）" id="2010102" bkName="bkFormat2010102" note="0" index="4"/>
  <Review inspectType="全半角检查" inspectCategory="错误" errorCategory="1" operate="1" amend="0" amendTime="" amendContent="" amendColor="" joinJudianRef="" inspectTypeEn="fullshaped" keywordsUrl="" rule="(" lookup="(" content="（" source="" errorType="" AllIndex="0" context="伸肌PT（N·m）" id="3040012" bkName="bkFormat3040012" note="0" index="4"/>
  <Review inspectType="全半角检查" inspectCategory="错误" errorCategory="1" operate="1" amend="0" amendTime="" amendContent="" amendColor="" joinJudianRef="" inspectTypeEn="fullshaped" keywordsUrl="" rule="(" lookup="(" content="（" source="" errorType="" AllIndex="0" context="屈肌TW（J）" id="62436" bkName="bkFormat62436" note="0" index="4"/>
  <Review inspectType="全半角检查" inspectCategory="错误" errorCategory="1" operate="1" amend="0" amendTime="" amendContent="" amendColor="" joinJudianRef="" inspectTypeEn="fullshaped" keywordsUrl="" rule="(" lookup="(" content="（" source="" errorType="" AllIndex="0" context="伸肌TW（J）" id="2013356" bkName="bkFormat2013356" note="0" index="4"/>
  <Review inspectType="全半角检查" inspectCategory="错误" errorCategory="1" operate="1" amend="0" amendTime="" amendContent="" amendColor="" joinJudianRef="" inspectTypeEn="fullshaped" keywordsUrl="" rule="(" lookup="(" content="（" source="" errorType="" AllIndex="0" context="屈肌AP（W）" id="1050744" bkName="bkFormat1050744" note="0" index="4"/>
  <Review inspectType="全半角检查" inspectCategory="错误" errorCategory="1" operate="1" amend="0" amendTime="" amendContent="" amendColor="" joinJudianRef="" inspectTypeEn="fullshaped" keywordsUrl="" rule="(" lookup="(" content="（" source="" errorType="" AllIndex="0" context="伸肌AP（W）" id="3162102" bkName="bkFormat3162102" note="0" index="4"/>
  <Review inspectType="全半角检查" inspectCategory="错误" errorCategory="1" operate="1" amend="0" amendTime="" amendContent="" amendColor="" joinJudianRef="" inspectTypeEn="fullshaped" keywordsUrl="" rule="拉丁字母、数学符号（包括百分号和小数点）、阿拉伯数字建议写成半角" lookup="拉丁字母、数学符号、阿拉伯数字使用西文半角格式" content="－" source="" errorType="" AllIndex="0" context="本研究创新性地将FES与不对称性等速肌力训练相结合，构建了“中枢－外周协同干预”模式。" id="1043141" bkName="bkFormat1043141" note="0" index="32"/>
  <Review inspectType="全半角检查" inspectCategory="错误" errorCategory="1" operate="1" amend="0" amendTime="" amendContent="" amendColor="" joinJudianRef="" inspectTypeEn="fullshaped" keywordsUrl="" rule="拉丁字母、数学符号（包括百分号和小数点）、阿拉伯数字建议写成半角" lookup="拉丁字母、数学符号、阿拉伯数字使用西文半角格式" content="－" source="" errorType="" AllIndex="0" context="与单纯等速训练或单纯FES相比，该联合方案在改善手部功能方面展现出显著优势：近端肘关节稳定性训练与远端FES诱发的腕背伸、肩外展形成“近端稳定－远端灵活”的力学链，为手部精细运动提供了必要的生物力学基础[14-15]。" id="3161634" bkName="bkFormat3161634" note="0" index="71"/>
  <Review inspectType="全半角检查" inspectCategory="错误" errorCategory="1" operate="1" amend="0" amendTime="" amendContent="" amendColor="" joinJudianRef="" inspectTypeEn="fullshaped" keywordsUrl="" rule="拉丁字母、数学符号（包括百分号和小数点）、阿拉伯数字建议写成半角" lookup="拉丁字母、数学符号、阿拉伯数字使用西文半角格式" content="－" source="" errorType="" AllIndex="0" context="综上所述，FES联合不对称性等速肌力训练能有效改善脑卒中偏瘫患者手部功能，降低肌张力并优化脑血流动力学，且安全性良好，体现了中枢－外周协同干预的创新价值。" id="1000001" bkName="bkFormat1000001" note="0" index="64"/>
</ReviewRoot>
</file>

<file path=customXml/item5.xml><?xml version="1.0" encoding="utf-8"?>
<ReviewRoot xmlns="http://www.founder.com/pageElement">
  <Review xmlPath="C:\Users\Dry\Documents\方正审校\Temp\Space\20260204\pageElement\bb785e08-341d-4f6c-be04-5666a1c83f78.xml" httpUrl="http://gateway.book.founderss.cn/book-review-api/api/doc/53dabbf3e27a4b128d46143e0bdf2d6c/docx"/>
</ReviewRoot>
</file>

<file path=customXml/item6.xml><?xml version="1.0" encoding="utf-8"?>
<ReviewRoot xmlns="http://www.founder.com/style">
  <Review xmlPath="C:\Users\Dry\Documents\方正审校\Temp\Space\20260204\wordStyle\ed0e8fb7-2eb3-4d1d-b527-4168fb1a2c24.xml" httpUrl="http://gateway.book.founderss.cn/book-review-api/api/doc/f3df1200-b52a-4c8c-a874-51095d6347d5/docx"/>
</ReviewRoot>
</file>

<file path=customXml/item7.xml><?xml version="1.0" encoding="utf-8"?>
<ReviewRoot xmlns="http://www.founder.com/duplicateLink">
  <DuplicateChecking Path="C:\Users\Dry\AppData\Local\Temp\05f0ced3-27a4-4e21-a500-5d448e957596.xml"/>
</ReviewRoot>
</file>

<file path=customXml/itemProps1.xml><?xml version="1.0" encoding="utf-8"?>
<ds:datastoreItem xmlns:ds="http://schemas.openxmlformats.org/officeDocument/2006/customXml" ds:itemID="{dd64a5ea-d05c-42a2-9755-a8227e2d9a9a}">
  <ds:schemaRefs/>
</ds:datastoreItem>
</file>

<file path=customXml/itemProps2.xml><?xml version="1.0" encoding="utf-8"?>
<ds:datastoreItem xmlns:ds="http://schemas.openxmlformats.org/officeDocument/2006/customXml" ds:itemID="{af6aab3b-e87f-4b28-92fe-e59ab6a9e788}">
  <ds:schemaRefs/>
</ds:datastoreItem>
</file>

<file path=customXml/itemProps3.xml><?xml version="1.0" encoding="utf-8"?>
<ds:datastoreItem xmlns:ds="http://schemas.openxmlformats.org/officeDocument/2006/customXml" ds:itemID="60e43823-e1f4-474c-8218-70dacf93b14b">
  <ds:schemaRefs/>
</ds:datastoreItem>
</file>

<file path=customXml/itemProps4.xml><?xml version="1.0" encoding="utf-8"?>
<ds:datastoreItem xmlns:ds="http://schemas.openxmlformats.org/officeDocument/2006/customXml" ds:itemID="0fd337d3-5a5b-4695-9912-0a97017dfad0">
  <ds:schemaRefs/>
</ds:datastoreItem>
</file>

<file path=customXml/itemProps5.xml><?xml version="1.0" encoding="utf-8"?>
<ds:datastoreItem xmlns:ds="http://schemas.openxmlformats.org/officeDocument/2006/customXml" ds:itemID="c73c95bf-7f28-44dc-afcd-3cf4aa723a95">
  <ds:schemaRefs/>
</ds:datastoreItem>
</file>

<file path=customXml/itemProps6.xml><?xml version="1.0" encoding="utf-8"?>
<ds:datastoreItem xmlns:ds="http://schemas.openxmlformats.org/officeDocument/2006/customXml" ds:itemID="288f4f98-cee9-4cf2-a64e-77b2bea02678">
  <ds:schemaRefs/>
</ds:datastoreItem>
</file>

<file path=customXml/itemProps7.xml><?xml version="1.0" encoding="utf-8"?>
<ds:datastoreItem xmlns:ds="http://schemas.openxmlformats.org/officeDocument/2006/customXml" ds:itemID="e93a6f21-9f39-41dd-b72f-b1ec36e8f14e">
  <ds:schemaRefs/>
</ds:datastoreItem>
</file>

<file path=docProps/app.xml><?xml version="1.0" encoding="utf-8"?>
<Properties xmlns="http://schemas.openxmlformats.org/officeDocument/2006/extended-properties" xmlns:vt="http://schemas.openxmlformats.org/officeDocument/2006/docPropsVTypes">
  <Template>Normal.dotm</Template>
  <Pages>11</Pages>
  <Words>8320</Words>
  <Characters>13835</Characters>
  <Lines>0</Lines>
  <Paragraphs>0</Paragraphs>
  <TotalTime>16</TotalTime>
  <ScaleCrop>false</ScaleCrop>
  <LinksUpToDate>false</LinksUpToDate>
  <CharactersWithSpaces>14710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2024-12-17T06:57:00Z</dcterms:created>
  <dc:creator>大鼹鼠</dc:creator>
  <cp:lastModifiedBy>戴荣源</cp:lastModifiedBy>
  <dcterms:modified xsi:type="dcterms:W3CDTF">2026-02-04T02:49:25Z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2B30C373B0A94B9A82C1E51CA61D15F2_13</vt:lpwstr>
  </property>
  <property fmtid="{D5CDD505-2E9C-101B-9397-08002B2CF9AE}" pid="4" name="KSOTemplateDocerSaveRecord">
    <vt:lpwstr>eyJoZGlkIjoiYjM4NWQ5NWU5NTJhMDRjYWViOWE0ZTk2NGE4OWY0MWYiLCJ1c2VySWQiOiI0NDI2NzE4OTYifQ==</vt:lpwstr>
  </property>
</Properties>
</file>