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0C140">
      <w:pPr>
        <w:pStyle w:val="31"/>
        <w:spacing w:line="360" w:lineRule="auto"/>
        <w:jc w:val="left"/>
        <w:rPr>
          <w:rFonts w:hint="default" w:ascii="Times New Roman" w:hAnsi="Times New Roman" w:cs="Times New Roman"/>
          <w:b/>
          <w:color w:val="FF0000"/>
          <w:sz w:val="44"/>
          <w:szCs w:val="44"/>
          <w:lang w:val="en-US" w:eastAsia="zh-CN"/>
        </w:rPr>
      </w:pPr>
      <w:bookmarkStart w:id="11" w:name="_GoBack"/>
      <w:r>
        <w:rPr>
          <w:rFonts w:hint="eastAsia" w:ascii="Times New Roman" w:hAnsi="Times New Roman" w:cs="Times New Roman"/>
          <w:b/>
          <w:color w:val="FF0000"/>
          <w:sz w:val="44"/>
          <w:szCs w:val="44"/>
          <w:lang w:val="en-US" w:eastAsia="zh-CN"/>
        </w:rPr>
        <w:t>冯老师，这篇文章正好作者提供了原始数据，您们可以试一下用这篇文章做测试，看看能否直接通过您的这个软件，直接筛查、标注出哪些数据（结果、统计值、P值）是否有问题。</w:t>
      </w:r>
    </w:p>
    <w:bookmarkEnd w:id="11"/>
    <w:p w14:paraId="4B9DC1E9">
      <w:pPr>
        <w:pStyle w:val="31"/>
        <w:spacing w:line="360" w:lineRule="auto"/>
        <w:jc w:val="left"/>
        <w:rPr>
          <w:rFonts w:hint="default" w:ascii="Times New Roman" w:hAnsi="Times New Roman" w:cs="Times New Roman"/>
          <w:b/>
          <w:color w:val="auto"/>
          <w:sz w:val="44"/>
          <w:szCs w:val="44"/>
          <w:lang w:val="en-US" w:eastAsia="zh-CN"/>
        </w:rPr>
      </w:pPr>
    </w:p>
    <w:p w14:paraId="01A035FB">
      <w:pPr>
        <w:pStyle w:val="31"/>
        <w:spacing w:line="360" w:lineRule="auto"/>
        <w:jc w:val="right"/>
        <w:rPr>
          <w:rFonts w:ascii="Times New Roman" w:hAnsi="Times New Roman" w:cs="Times New Roman"/>
          <w:b/>
          <w:color w:val="auto"/>
          <w:sz w:val="44"/>
          <w:szCs w:val="44"/>
        </w:rPr>
      </w:pPr>
      <w:r>
        <w:rPr>
          <w:rFonts w:ascii="Times New Roman" w:hAnsi="Times New Roman" w:cs="Times New Roman"/>
          <w:b/>
          <w:color w:val="auto"/>
          <w:sz w:val="44"/>
          <w:szCs w:val="44"/>
        </w:rPr>
        <w:t>·临床研究·</w:t>
      </w:r>
    </w:p>
    <w:p w14:paraId="198F7B71">
      <w:pPr>
        <w:pStyle w:val="31"/>
        <w:spacing w:line="360" w:lineRule="auto"/>
        <w:rPr>
          <w:rFonts w:ascii="Times New Roman" w:hAnsi="Times New Roman" w:cs="Times New Roman"/>
          <w:b/>
          <w:color w:val="auto"/>
          <w:sz w:val="44"/>
          <w:szCs w:val="44"/>
        </w:rPr>
      </w:pPr>
      <w:r>
        <w:rPr>
          <w:rFonts w:ascii="Times New Roman" w:hAnsi="Times New Roman" w:cs="Times New Roman"/>
          <w:b/>
          <w:color w:val="auto"/>
          <w:sz w:val="44"/>
          <w:szCs w:val="44"/>
        </w:rPr>
        <w:t>高血压脑出血患者血清血管内皮钙黏蛋白、1-磷酸鞘氨酸水平与凝血功能及短期预后的关系</w:t>
      </w:r>
    </w:p>
    <w:p w14:paraId="75617B56">
      <w:pPr>
        <w:spacing w:line="360" w:lineRule="auto"/>
        <w:rPr>
          <w:rFonts w:ascii="Times New Roman" w:eastAsia="宋体" w:cs="Times New Roman"/>
          <w:color w:val="auto"/>
          <w:sz w:val="21"/>
          <w:szCs w:val="18"/>
        </w:rPr>
      </w:pPr>
      <w:r>
        <w:rPr>
          <w:rFonts w:ascii="Times New Roman" w:eastAsia="宋体" w:cs="Times New Roman"/>
          <w:color w:val="auto"/>
          <w:sz w:val="21"/>
          <w:szCs w:val="18"/>
        </w:rPr>
        <w:t>陈卫峰</w:t>
      </w:r>
      <w:r>
        <w:rPr>
          <w:rFonts w:ascii="Times New Roman" w:eastAsia="宋体" w:cs="Times New Roman"/>
          <w:color w:val="auto"/>
          <w:sz w:val="21"/>
          <w:szCs w:val="18"/>
          <w:vertAlign w:val="superscript"/>
        </w:rPr>
        <w:t>1</w:t>
      </w:r>
      <w:r>
        <w:rPr>
          <w:rFonts w:ascii="Times New Roman" w:eastAsia="宋体" w:cs="Times New Roman"/>
          <w:color w:val="auto"/>
          <w:sz w:val="21"/>
          <w:szCs w:val="18"/>
        </w:rPr>
        <w:t xml:space="preserve">   吴倩岚</w:t>
      </w:r>
      <w:r>
        <w:rPr>
          <w:rFonts w:ascii="Times New Roman" w:eastAsia="宋体" w:cs="Times New Roman"/>
          <w:color w:val="auto"/>
          <w:sz w:val="21"/>
          <w:szCs w:val="18"/>
          <w:vertAlign w:val="superscript"/>
        </w:rPr>
        <w:t>2</w:t>
      </w:r>
      <w:r>
        <w:rPr>
          <w:rFonts w:ascii="Times New Roman" w:eastAsia="宋体" w:cs="Times New Roman"/>
          <w:color w:val="auto"/>
          <w:sz w:val="21"/>
          <w:szCs w:val="18"/>
        </w:rPr>
        <w:t xml:space="preserve">   赵春梅</w:t>
      </w:r>
      <w:r>
        <w:rPr>
          <w:rFonts w:ascii="Times New Roman" w:eastAsia="宋体" w:cs="Times New Roman"/>
          <w:color w:val="auto"/>
          <w:sz w:val="21"/>
          <w:szCs w:val="18"/>
          <w:vertAlign w:val="superscript"/>
        </w:rPr>
        <w:t>1</w:t>
      </w:r>
      <w:r>
        <w:rPr>
          <w:rFonts w:ascii="Times New Roman" w:eastAsia="宋体" w:cs="Times New Roman"/>
          <w:color w:val="auto"/>
          <w:sz w:val="21"/>
          <w:szCs w:val="18"/>
        </w:rPr>
        <w:t xml:space="preserve">   张邯菲</w:t>
      </w:r>
      <w:r>
        <w:rPr>
          <w:rFonts w:ascii="Times New Roman" w:eastAsia="宋体" w:cs="Times New Roman"/>
          <w:color w:val="auto"/>
          <w:sz w:val="21"/>
          <w:szCs w:val="18"/>
          <w:vertAlign w:val="superscript"/>
        </w:rPr>
        <w:t>3</w:t>
      </w:r>
      <w:r>
        <w:rPr>
          <w:rFonts w:ascii="Times New Roman" w:eastAsia="宋体" w:cs="Times New Roman"/>
          <w:color w:val="auto"/>
          <w:sz w:val="21"/>
          <w:szCs w:val="18"/>
        </w:rPr>
        <w:t xml:space="preserve">   岳超</w:t>
      </w:r>
      <w:r>
        <w:rPr>
          <w:rFonts w:ascii="Times New Roman" w:eastAsia="宋体" w:cs="Times New Roman"/>
          <w:color w:val="auto"/>
          <w:sz w:val="21"/>
          <w:szCs w:val="18"/>
          <w:vertAlign w:val="superscript"/>
        </w:rPr>
        <w:t>1</w:t>
      </w:r>
      <w:r>
        <w:rPr>
          <w:rFonts w:ascii="Times New Roman" w:eastAsia="宋体" w:cs="Times New Roman"/>
          <w:color w:val="auto"/>
          <w:sz w:val="21"/>
          <w:szCs w:val="18"/>
        </w:rPr>
        <w:t xml:space="preserve">   范怀宝</w:t>
      </w:r>
      <w:r>
        <w:rPr>
          <w:rFonts w:ascii="Times New Roman" w:eastAsia="宋体" w:cs="Times New Roman"/>
          <w:color w:val="auto"/>
          <w:sz w:val="21"/>
          <w:szCs w:val="18"/>
          <w:vertAlign w:val="superscript"/>
        </w:rPr>
        <w:t>1</w:t>
      </w:r>
      <w:r>
        <w:rPr>
          <w:rFonts w:ascii="Times New Roman" w:eastAsia="宋体" w:cs="Times New Roman"/>
          <w:color w:val="auto"/>
          <w:sz w:val="21"/>
          <w:szCs w:val="18"/>
        </w:rPr>
        <w:t xml:space="preserve">   赵渝尧</w:t>
      </w:r>
      <w:r>
        <w:rPr>
          <w:rFonts w:ascii="Times New Roman" w:eastAsia="宋体" w:cs="Times New Roman"/>
          <w:color w:val="auto"/>
          <w:sz w:val="21"/>
          <w:szCs w:val="18"/>
          <w:vertAlign w:val="superscript"/>
        </w:rPr>
        <w:t>1</w:t>
      </w:r>
    </w:p>
    <w:p w14:paraId="79131E61">
      <w:pPr>
        <w:spacing w:line="360" w:lineRule="auto"/>
        <w:jc w:val="both"/>
        <w:rPr>
          <w:rFonts w:ascii="Times New Roman" w:eastAsia="宋体" w:cs="Times New Roman"/>
          <w:color w:val="auto"/>
          <w:sz w:val="21"/>
          <w:szCs w:val="42"/>
        </w:rPr>
      </w:pPr>
      <w:r>
        <w:rPr>
          <w:rFonts w:ascii="Times New Roman" w:eastAsia="宋体" w:cs="Times New Roman"/>
          <w:color w:val="auto"/>
          <w:sz w:val="21"/>
          <w:szCs w:val="42"/>
        </w:rPr>
        <w:t>基金项目：</w:t>
      </w:r>
      <w:r>
        <w:rPr>
          <w:rFonts w:ascii="Times New Roman" w:eastAsia="宋体" w:cs="Times New Roman"/>
          <w:color w:val="auto"/>
          <w:sz w:val="21"/>
          <w:szCs w:val="18"/>
        </w:rPr>
        <w:t>河北省医学科学研究课题计划（20261220）</w:t>
      </w:r>
    </w:p>
    <w:p w14:paraId="0FFF664E">
      <w:pPr>
        <w:spacing w:line="360" w:lineRule="auto"/>
        <w:jc w:val="both"/>
        <w:rPr>
          <w:rFonts w:ascii="Times New Roman" w:eastAsia="宋体" w:cs="Times New Roman"/>
          <w:color w:val="auto"/>
          <w:sz w:val="21"/>
          <w:szCs w:val="42"/>
        </w:rPr>
      </w:pPr>
      <w:r>
        <w:rPr>
          <w:rFonts w:ascii="Times New Roman" w:eastAsia="宋体" w:cs="Times New Roman"/>
          <w:color w:val="auto"/>
          <w:sz w:val="21"/>
          <w:szCs w:val="42"/>
        </w:rPr>
        <w:t>作者单位：</w:t>
      </w:r>
      <w:r>
        <w:rPr>
          <w:rFonts w:ascii="Times New Roman" w:eastAsia="宋体" w:cs="Times New Roman"/>
          <w:color w:val="auto"/>
          <w:sz w:val="21"/>
          <w:szCs w:val="18"/>
        </w:rPr>
        <w:t>057150  河北邯郸，邯郸市中心医院神经外科</w:t>
      </w:r>
      <w:r>
        <w:rPr>
          <w:rFonts w:ascii="Times New Roman" w:eastAsia="宋体" w:cs="Times New Roman"/>
          <w:color w:val="auto"/>
          <w:sz w:val="21"/>
          <w:szCs w:val="18"/>
          <w:vertAlign w:val="superscript"/>
        </w:rPr>
        <w:t>1</w:t>
      </w:r>
      <w:r>
        <w:rPr>
          <w:rFonts w:ascii="Times New Roman" w:eastAsia="宋体" w:cs="Times New Roman"/>
          <w:color w:val="auto"/>
          <w:sz w:val="21"/>
          <w:szCs w:val="18"/>
        </w:rPr>
        <w:t>，神经内科</w:t>
      </w:r>
      <w:r>
        <w:rPr>
          <w:rFonts w:ascii="Times New Roman" w:eastAsia="宋体" w:cs="Times New Roman"/>
          <w:color w:val="auto"/>
          <w:sz w:val="21"/>
          <w:szCs w:val="18"/>
          <w:vertAlign w:val="superscript"/>
        </w:rPr>
        <w:t>3</w:t>
      </w:r>
      <w:r>
        <w:rPr>
          <w:rFonts w:ascii="Times New Roman" w:eastAsia="宋体" w:cs="Times New Roman"/>
          <w:color w:val="auto"/>
          <w:sz w:val="21"/>
          <w:szCs w:val="18"/>
        </w:rPr>
        <w:t>；</w:t>
      </w:r>
      <w:r>
        <w:rPr>
          <w:color w:val="auto"/>
        </w:rPr>
        <w:fldChar w:fldCharType="begin"/>
      </w:r>
      <w:r>
        <w:rPr>
          <w:color w:val="auto"/>
        </w:rPr>
        <w:instrText xml:space="preserve"> HYPERLINK "https://map.360.cn/zt/postcode.html?cityid=130400&amp;src=onebox" \t "https://www.so.com/_blank" </w:instrText>
      </w:r>
      <w:r>
        <w:rPr>
          <w:color w:val="auto"/>
        </w:rPr>
        <w:fldChar w:fldCharType="separate"/>
      </w:r>
      <w:r>
        <w:rPr>
          <w:rFonts w:ascii="Times New Roman" w:eastAsia="宋体" w:cs="Times New Roman"/>
          <w:color w:val="auto"/>
          <w:sz w:val="21"/>
          <w:szCs w:val="18"/>
        </w:rPr>
        <w:t>056000</w:t>
      </w:r>
      <w:r>
        <w:rPr>
          <w:rFonts w:ascii="Times New Roman" w:eastAsia="宋体" w:cs="Times New Roman"/>
          <w:color w:val="auto"/>
          <w:sz w:val="21"/>
          <w:szCs w:val="18"/>
        </w:rPr>
        <w:fldChar w:fldCharType="end"/>
      </w:r>
      <w:r>
        <w:rPr>
          <w:rFonts w:ascii="Times New Roman" w:eastAsia="宋体" w:cs="Times New Roman"/>
          <w:color w:val="auto"/>
          <w:sz w:val="21"/>
          <w:szCs w:val="18"/>
        </w:rPr>
        <w:t xml:space="preserve">  河北邯郸，邯郸市第一医院病理科</w:t>
      </w:r>
      <w:r>
        <w:rPr>
          <w:rFonts w:ascii="Times New Roman" w:eastAsia="宋体" w:cs="Times New Roman"/>
          <w:color w:val="auto"/>
          <w:sz w:val="21"/>
          <w:szCs w:val="18"/>
          <w:vertAlign w:val="superscript"/>
        </w:rPr>
        <w:t>2</w:t>
      </w:r>
    </w:p>
    <w:p w14:paraId="75FF38D2">
      <w:pPr>
        <w:spacing w:line="360" w:lineRule="auto"/>
        <w:rPr>
          <w:rFonts w:ascii="Times New Roman" w:eastAsia="宋体" w:cs="Times New Roman"/>
          <w:color w:val="auto"/>
          <w:sz w:val="21"/>
          <w:szCs w:val="42"/>
        </w:rPr>
      </w:pPr>
      <w:r>
        <w:rPr>
          <w:rFonts w:ascii="Times New Roman" w:eastAsia="宋体" w:cs="Times New Roman"/>
          <w:color w:val="auto"/>
          <w:sz w:val="21"/>
          <w:szCs w:val="42"/>
        </w:rPr>
        <w:t>通信作者：吴倩岚，Email：277708676@qq.com</w:t>
      </w:r>
    </w:p>
    <w:p w14:paraId="097D0743">
      <w:pPr>
        <w:pStyle w:val="31"/>
        <w:spacing w:line="360" w:lineRule="auto"/>
        <w:rPr>
          <w:rFonts w:ascii="Times New Roman" w:hAnsi="Times New Roman" w:cs="Times New Roman"/>
          <w:b/>
          <w:color w:val="auto"/>
          <w:sz w:val="21"/>
          <w:szCs w:val="18"/>
        </w:rPr>
      </w:pPr>
    </w:p>
    <w:p w14:paraId="307F56C6">
      <w:pPr>
        <w:pStyle w:val="45"/>
        <w:spacing w:line="360" w:lineRule="auto"/>
        <w:ind w:firstLine="422"/>
        <w:rPr>
          <w:rFonts w:ascii="Times New Roman" w:hAnsi="Times New Roman" w:eastAsia="宋体" w:cs="Times New Roman"/>
          <w:color w:val="auto"/>
        </w:rPr>
      </w:pPr>
      <w:r>
        <w:rPr>
          <w:rFonts w:ascii="Times New Roman" w:hAnsi="Times New Roman" w:eastAsia="宋体" w:cs="Times New Roman"/>
          <w:b/>
          <w:bCs/>
          <w:color w:val="auto"/>
          <w:szCs w:val="18"/>
        </w:rPr>
        <w:t>【摘要】目的</w:t>
      </w:r>
      <w:r>
        <w:rPr>
          <w:rFonts w:ascii="Times New Roman" w:hAnsi="Times New Roman" w:eastAsia="宋体" w:cs="Times New Roman"/>
          <w:color w:val="auto"/>
          <w:szCs w:val="18"/>
        </w:rPr>
        <w:t xml:space="preserve">  探讨高血压脑出血（HICH）患者血清血管内皮钙黏蛋白（VE-cadherin）、1-磷酸鞘氨酸（S1P）水平与凝血功能及短期预后的关系。</w:t>
      </w:r>
      <w:r>
        <w:rPr>
          <w:rFonts w:ascii="Times New Roman" w:hAnsi="Times New Roman" w:eastAsia="宋体" w:cs="Times New Roman"/>
          <w:b/>
          <w:bCs/>
          <w:color w:val="auto"/>
          <w:szCs w:val="18"/>
        </w:rPr>
        <w:t>方法</w:t>
      </w:r>
      <w:r>
        <w:rPr>
          <w:rFonts w:ascii="Times New Roman" w:hAnsi="Times New Roman" w:eastAsia="宋体" w:cs="Times New Roman"/>
          <w:color w:val="auto"/>
          <w:szCs w:val="18"/>
        </w:rPr>
        <w:t xml:space="preserve">  按照1</w:t>
      </w:r>
      <w:r>
        <w:rPr>
          <w:rFonts w:ascii="Times New Roman" w:hAnsi="Times New Roman" w:eastAsia="宋体" w:cs="Times New Roman"/>
          <w:color w:val="auto"/>
        </w:rPr>
        <w:t>∶</w:t>
      </w:r>
      <w:r>
        <w:rPr>
          <w:rFonts w:ascii="Times New Roman" w:hAnsi="Times New Roman" w:eastAsia="宋体" w:cs="Times New Roman"/>
          <w:color w:val="auto"/>
          <w:szCs w:val="18"/>
        </w:rPr>
        <w:t>1比例前瞻性选取2022年1月至2024年9月邯郸市中心医院收治的HICH患者134例（试验组）和同期健康体检志愿者134例（对照组）</w:t>
      </w:r>
      <w:r>
        <w:rPr>
          <w:rFonts w:hint="eastAsia" w:ascii="Times New Roman" w:hAnsi="Times New Roman" w:eastAsia="宋体" w:cs="Times New Roman"/>
          <w:color w:val="auto"/>
          <w:szCs w:val="18"/>
        </w:rPr>
        <w:t>。采用</w:t>
      </w:r>
      <w:r>
        <w:rPr>
          <w:rFonts w:hint="eastAsia" w:ascii="Times New Roman" w:hAnsi="Times New Roman" w:eastAsia="宋体" w:cs="Times New Roman"/>
          <w:i/>
          <w:iCs/>
          <w:color w:val="auto"/>
          <w:szCs w:val="18"/>
        </w:rPr>
        <w:t>t</w:t>
      </w:r>
      <w:r>
        <w:rPr>
          <w:rFonts w:hint="eastAsia" w:ascii="Times New Roman" w:hAnsi="Times New Roman" w:eastAsia="宋体" w:cs="Times New Roman"/>
          <w:color w:val="auto"/>
          <w:szCs w:val="18"/>
        </w:rPr>
        <w:t>检验或</w:t>
      </w:r>
      <w:r>
        <w:rPr>
          <w:rFonts w:hint="eastAsia" w:ascii="Times New Roman" w:hAnsi="Times New Roman" w:eastAsia="宋体" w:cs="Times New Roman"/>
          <w:i/>
          <w:iCs/>
          <w:color w:val="auto"/>
          <w:szCs w:val="18"/>
        </w:rPr>
        <w:t>U</w:t>
      </w:r>
      <w:r>
        <w:rPr>
          <w:rFonts w:hint="eastAsia" w:ascii="Times New Roman" w:hAnsi="Times New Roman" w:eastAsia="宋体" w:cs="Times New Roman"/>
          <w:color w:val="auto"/>
          <w:szCs w:val="18"/>
        </w:rPr>
        <w:t>检验比较</w:t>
      </w:r>
      <w:r>
        <w:rPr>
          <w:rFonts w:ascii="Times New Roman" w:hAnsi="Times New Roman" w:eastAsia="宋体" w:cs="Times New Roman"/>
          <w:color w:val="auto"/>
          <w:szCs w:val="18"/>
        </w:rPr>
        <w:t>2组</w:t>
      </w:r>
      <w:r>
        <w:rPr>
          <w:rFonts w:hint="eastAsia" w:ascii="Times New Roman" w:hAnsi="Times New Roman" w:eastAsia="宋体" w:cs="Times New Roman"/>
          <w:color w:val="auto"/>
          <w:szCs w:val="18"/>
        </w:rPr>
        <w:t>患者</w:t>
      </w:r>
      <w:r>
        <w:rPr>
          <w:rFonts w:ascii="Times New Roman" w:hAnsi="Times New Roman" w:eastAsia="宋体" w:cs="Times New Roman"/>
          <w:color w:val="auto"/>
          <w:szCs w:val="18"/>
        </w:rPr>
        <w:t>的血清VE-cadherin、S1P水平及凝血功能[包括D-二聚体（D-D）、纤维蛋白原（FIB）、凝血酶原时间（PT）、凝血酶时间（TT）、活化部分凝血酶时间（APTT）]。将HICH患者根据入院时美国国立卫生研究院卒中量表（NIHSS）评分（病情程度）分为轻度缺损组（41例）、中度缺损组（33例）、中重度缺损组（35例）和重度缺损组（25例）。采用Pearson/Spearman相关分析HICH患者血清VE-cadherin、S1P水平与病情程度、凝血功能的相关性。将HICH患者根据随访6个月的改良Rankin量表（mRS）分为不良组（mRS＞2级或死亡，60例）和良好组（mRS≤2级，74例）。通过单因素及多因素Logistic回归分析影响HICH患者短期预后的因素，采用受试者操作特征（ROC）曲线分析血清VE-cadherin、S1P水平对HICH患者短期预后的预测效能。</w:t>
      </w:r>
      <w:r>
        <w:rPr>
          <w:rFonts w:ascii="Times New Roman" w:hAnsi="Times New Roman" w:eastAsia="宋体" w:cs="Times New Roman"/>
          <w:b/>
          <w:bCs/>
          <w:color w:val="auto"/>
          <w:szCs w:val="18"/>
        </w:rPr>
        <w:t>结果</w:t>
      </w:r>
      <w:r>
        <w:rPr>
          <w:rFonts w:ascii="Times New Roman" w:hAnsi="Times New Roman" w:eastAsia="宋体" w:cs="Times New Roman"/>
          <w:color w:val="auto"/>
          <w:szCs w:val="18"/>
        </w:rPr>
        <w:t xml:space="preserve">  </w:t>
      </w:r>
      <w:r>
        <w:rPr>
          <w:rFonts w:ascii="Times New Roman" w:hAnsi="Times New Roman" w:eastAsia="宋体" w:cs="Times New Roman"/>
          <w:color w:val="auto"/>
        </w:rPr>
        <w:t xml:space="preserve">与对照组（健康体检志愿者）比较，试验组HICH患者的血清VE-cadherin[5.81（4.55，6.97） mg/L </w:t>
      </w:r>
      <w:r>
        <w:rPr>
          <w:rFonts w:ascii="Times New Roman" w:hAnsi="Times New Roman" w:eastAsia="宋体" w:cs="Times New Roman"/>
          <w:i/>
          <w:iCs/>
          <w:color w:val="auto"/>
        </w:rPr>
        <w:t>vs</w:t>
      </w:r>
      <w:r>
        <w:rPr>
          <w:rFonts w:ascii="Times New Roman" w:hAnsi="Times New Roman" w:eastAsia="宋体" w:cs="Times New Roman"/>
          <w:color w:val="auto"/>
        </w:rPr>
        <w:t xml:space="preserve"> 3.08（2.77，3.43） mg/L，</w:t>
      </w:r>
      <w:r>
        <w:rPr>
          <w:rFonts w:ascii="Times New Roman" w:hAnsi="Times New Roman" w:eastAsia="宋体" w:cs="Times New Roman"/>
          <w:i/>
          <w:iCs/>
          <w:color w:val="auto"/>
        </w:rPr>
        <w:t>U</w:t>
      </w:r>
      <w:r>
        <w:rPr>
          <w:rFonts w:ascii="Times New Roman" w:hAnsi="Times New Roman" w:eastAsia="宋体" w:cs="Times New Roman"/>
          <w:color w:val="auto"/>
        </w:rPr>
        <w:t>=</w:t>
      </w:r>
      <w:r>
        <w:rPr>
          <w:rFonts w:hint="eastAsia" w:ascii="Times New Roman" w:hAnsi="Times New Roman" w:eastAsia="宋体" w:cs="Times New Roman"/>
          <w:color w:val="auto"/>
          <w:lang w:val="en-US" w:eastAsia="zh-CN"/>
        </w:rPr>
        <w:t>4.314</w:t>
      </w:r>
      <w:r>
        <w:rPr>
          <w:rFonts w:ascii="Times New Roman" w:hAnsi="Times New Roman" w:eastAsia="宋体" w:cs="Times New Roman"/>
          <w:color w:val="auto"/>
        </w:rPr>
        <w:t>，</w:t>
      </w:r>
      <w:r>
        <w:rPr>
          <w:rFonts w:ascii="Times New Roman" w:hAnsi="Times New Roman" w:eastAsia="宋体" w:cs="Times New Roman"/>
          <w:i/>
          <w:iCs/>
          <w:color w:val="auto"/>
        </w:rPr>
        <w:t>P</w:t>
      </w:r>
      <w:r>
        <w:rPr>
          <w:rFonts w:ascii="Times New Roman" w:hAnsi="Times New Roman" w:eastAsia="宋体" w:cs="Times New Roman"/>
          <w:color w:val="auto"/>
        </w:rPr>
        <w:t>&lt;0.001</w:t>
      </w:r>
      <w:r>
        <w:rPr>
          <w:rFonts w:ascii="Times New Roman" w:hAnsi="Times New Roman" w:eastAsia="宋体" w:cs="Times New Roman"/>
          <w:color w:val="auto"/>
        </w:rPr>
        <w:t xml:space="preserve">]、S1P[（287.43±39.42）ng/mL </w:t>
      </w:r>
      <w:r>
        <w:rPr>
          <w:rFonts w:ascii="Times New Roman" w:hAnsi="Times New Roman" w:eastAsia="宋体" w:cs="Times New Roman"/>
          <w:i/>
          <w:iCs/>
          <w:color w:val="auto"/>
        </w:rPr>
        <w:t>vs</w:t>
      </w:r>
      <w:r>
        <w:rPr>
          <w:rFonts w:ascii="Times New Roman" w:hAnsi="Times New Roman" w:eastAsia="宋体" w:cs="Times New Roman"/>
          <w:color w:val="auto"/>
        </w:rPr>
        <w:t xml:space="preserve"> （210.06±28.01）ng/mL，</w:t>
      </w:r>
      <w:r>
        <w:rPr>
          <w:rFonts w:ascii="Times New Roman" w:hAnsi="Times New Roman" w:eastAsia="宋体" w:cs="Times New Roman"/>
          <w:i/>
          <w:iCs/>
          <w:color w:val="auto"/>
        </w:rPr>
        <w:t>t</w:t>
      </w:r>
      <w:r>
        <w:rPr>
          <w:rFonts w:ascii="Times New Roman" w:hAnsi="Times New Roman" w:eastAsia="宋体" w:cs="Times New Roman"/>
          <w:color w:val="auto"/>
        </w:rPr>
        <w:t>=</w:t>
      </w:r>
      <w:r>
        <w:rPr>
          <w:rFonts w:hint="eastAsia" w:ascii="Times New Roman" w:hAnsi="Times New Roman" w:eastAsia="宋体" w:cs="Times New Roman"/>
          <w:color w:val="auto"/>
          <w:sz w:val="21"/>
          <w:lang w:val="en-US" w:eastAsia="zh-CN"/>
        </w:rPr>
        <w:t>4.075</w:t>
      </w:r>
      <w:r>
        <w:rPr>
          <w:rFonts w:ascii="Times New Roman" w:hAnsi="Times New Roman" w:eastAsia="宋体" w:cs="Times New Roman"/>
          <w:color w:val="auto"/>
        </w:rPr>
        <w:t>，</w:t>
      </w:r>
      <w:r>
        <w:rPr>
          <w:rFonts w:ascii="Times New Roman" w:hAnsi="Times New Roman" w:eastAsia="宋体" w:cs="Times New Roman"/>
          <w:i/>
          <w:iCs/>
          <w:color w:val="auto"/>
        </w:rPr>
        <w:t>P</w:t>
      </w:r>
      <w:r>
        <w:rPr>
          <w:rFonts w:ascii="Times New Roman" w:hAnsi="Times New Roman" w:eastAsia="宋体" w:cs="Times New Roman"/>
          <w:color w:val="auto"/>
        </w:rPr>
        <w:t>&lt;0.001</w:t>
      </w:r>
      <w:r>
        <w:rPr>
          <w:rFonts w:ascii="Times New Roman" w:hAnsi="Times New Roman" w:eastAsia="宋体" w:cs="Times New Roman"/>
          <w:color w:val="auto"/>
        </w:rPr>
        <w:t xml:space="preserve">]、D-D[0.67（0.53，0.85） mg/L </w:t>
      </w:r>
      <w:r>
        <w:rPr>
          <w:rFonts w:ascii="Times New Roman" w:hAnsi="Times New Roman" w:eastAsia="宋体" w:cs="Times New Roman"/>
          <w:i/>
          <w:iCs/>
          <w:color w:val="auto"/>
        </w:rPr>
        <w:t>vs</w:t>
      </w:r>
      <w:r>
        <w:rPr>
          <w:rFonts w:ascii="Times New Roman" w:hAnsi="Times New Roman" w:eastAsia="宋体" w:cs="Times New Roman"/>
          <w:color w:val="auto"/>
        </w:rPr>
        <w:t xml:space="preserve"> 0.29（0.23，0.37） mg/L，</w:t>
      </w:r>
      <w:r>
        <w:rPr>
          <w:rFonts w:ascii="Times New Roman" w:hAnsi="Times New Roman" w:eastAsia="宋体" w:cs="Times New Roman"/>
          <w:i/>
          <w:iCs/>
          <w:color w:val="auto"/>
        </w:rPr>
        <w:t>U</w:t>
      </w:r>
      <w:r>
        <w:rPr>
          <w:rFonts w:ascii="Times New Roman" w:hAnsi="Times New Roman" w:eastAsia="宋体" w:cs="Times New Roman"/>
          <w:color w:val="auto"/>
        </w:rPr>
        <w:t>=</w:t>
      </w:r>
      <w:r>
        <w:rPr>
          <w:rFonts w:hint="eastAsia" w:ascii="Times New Roman" w:hAnsi="Times New Roman" w:eastAsia="宋体" w:cs="Times New Roman"/>
          <w:color w:val="auto"/>
          <w:lang w:val="en-US" w:eastAsia="zh-CN"/>
        </w:rPr>
        <w:t>4.778</w:t>
      </w:r>
      <w:r>
        <w:rPr>
          <w:rFonts w:ascii="Times New Roman" w:hAnsi="Times New Roman" w:eastAsia="宋体" w:cs="Times New Roman"/>
          <w:color w:val="auto"/>
        </w:rPr>
        <w:t>，</w:t>
      </w:r>
      <w:r>
        <w:rPr>
          <w:rFonts w:ascii="Times New Roman" w:hAnsi="Times New Roman" w:eastAsia="宋体" w:cs="Times New Roman"/>
          <w:i/>
          <w:iCs/>
          <w:color w:val="auto"/>
        </w:rPr>
        <w:t>P</w:t>
      </w:r>
      <w:r>
        <w:rPr>
          <w:rFonts w:ascii="Times New Roman" w:hAnsi="Times New Roman" w:eastAsia="宋体" w:cs="Times New Roman"/>
          <w:color w:val="auto"/>
        </w:rPr>
        <w:t>&lt;0.001</w:t>
      </w:r>
      <w:r>
        <w:rPr>
          <w:rFonts w:ascii="Times New Roman" w:hAnsi="Times New Roman" w:eastAsia="宋体" w:cs="Times New Roman"/>
          <w:color w:val="auto"/>
        </w:rPr>
        <w:t xml:space="preserve">]、FIB[（3.96±0.53） g/L </w:t>
      </w:r>
      <w:r>
        <w:rPr>
          <w:rFonts w:ascii="Times New Roman" w:hAnsi="Times New Roman" w:eastAsia="宋体" w:cs="Times New Roman"/>
          <w:i/>
          <w:iCs/>
          <w:color w:val="auto"/>
        </w:rPr>
        <w:t>vs</w:t>
      </w:r>
      <w:r>
        <w:rPr>
          <w:rFonts w:ascii="Times New Roman" w:hAnsi="Times New Roman" w:eastAsia="宋体" w:cs="Times New Roman"/>
          <w:color w:val="auto"/>
        </w:rPr>
        <w:t xml:space="preserve"> （2.66±0.40） g/L，</w:t>
      </w:r>
      <w:r>
        <w:rPr>
          <w:rFonts w:ascii="Times New Roman" w:hAnsi="Times New Roman" w:eastAsia="宋体" w:cs="Times New Roman"/>
          <w:i/>
          <w:iCs/>
          <w:color w:val="auto"/>
        </w:rPr>
        <w:t>t</w:t>
      </w:r>
      <w:r>
        <w:rPr>
          <w:rFonts w:ascii="Times New Roman" w:hAnsi="Times New Roman" w:eastAsia="宋体" w:cs="Times New Roman"/>
          <w:color w:val="auto"/>
        </w:rPr>
        <w:t>=</w:t>
      </w:r>
      <w:r>
        <w:rPr>
          <w:rFonts w:hint="eastAsia" w:ascii="Times New Roman" w:hAnsi="Times New Roman" w:eastAsia="宋体" w:cs="Times New Roman"/>
          <w:color w:val="auto"/>
          <w:sz w:val="21"/>
          <w:lang w:val="en-US" w:eastAsia="zh-CN"/>
        </w:rPr>
        <w:t>22.663</w:t>
      </w:r>
      <w:r>
        <w:rPr>
          <w:rFonts w:ascii="Times New Roman" w:hAnsi="Times New Roman" w:eastAsia="宋体" w:cs="Times New Roman"/>
          <w:color w:val="auto"/>
        </w:rPr>
        <w:t>，</w:t>
      </w:r>
      <w:r>
        <w:rPr>
          <w:rFonts w:ascii="Times New Roman" w:hAnsi="Times New Roman" w:eastAsia="宋体" w:cs="Times New Roman"/>
          <w:i/>
          <w:iCs/>
          <w:color w:val="auto"/>
        </w:rPr>
        <w:t>P</w:t>
      </w:r>
      <w:r>
        <w:rPr>
          <w:rFonts w:ascii="Times New Roman" w:hAnsi="Times New Roman" w:eastAsia="宋体" w:cs="Times New Roman"/>
          <w:color w:val="auto"/>
        </w:rPr>
        <w:t>&lt;0.001]水平均明显升高，PT[（</w:t>
      </w:r>
      <w:r>
        <w:rPr>
          <w:rFonts w:ascii="Times New Roman" w:hAnsi="Times New Roman" w:eastAsia="宋体" w:cs="Times New Roman"/>
          <w:color w:val="auto"/>
          <w:sz w:val="21"/>
        </w:rPr>
        <w:t>15.</w:t>
      </w:r>
      <w:r>
        <w:rPr>
          <w:rFonts w:hint="eastAsia" w:ascii="Times New Roman" w:hAnsi="Times New Roman" w:eastAsia="宋体" w:cs="Times New Roman"/>
          <w:color w:val="auto"/>
          <w:sz w:val="21"/>
          <w:lang w:val="en-US" w:eastAsia="zh-CN"/>
        </w:rPr>
        <w:t>66</w:t>
      </w:r>
      <w:r>
        <w:rPr>
          <w:rFonts w:ascii="Times New Roman" w:hAnsi="Times New Roman" w:eastAsia="宋体" w:cs="Times New Roman"/>
          <w:color w:val="auto"/>
          <w:sz w:val="21"/>
        </w:rPr>
        <w:t>±3.44</w:t>
      </w:r>
      <w:r>
        <w:rPr>
          <w:rFonts w:ascii="Times New Roman" w:hAnsi="Times New Roman" w:eastAsia="宋体" w:cs="Times New Roman"/>
          <w:color w:val="auto"/>
        </w:rPr>
        <w:t xml:space="preserve">） s </w:t>
      </w:r>
      <w:r>
        <w:rPr>
          <w:rFonts w:ascii="Times New Roman" w:hAnsi="Times New Roman" w:eastAsia="宋体" w:cs="Times New Roman"/>
          <w:i/>
          <w:iCs/>
          <w:color w:val="auto"/>
        </w:rPr>
        <w:t>vs</w:t>
      </w:r>
      <w:r>
        <w:rPr>
          <w:rFonts w:ascii="Times New Roman" w:hAnsi="Times New Roman" w:eastAsia="宋体" w:cs="Times New Roman"/>
          <w:color w:val="auto"/>
        </w:rPr>
        <w:t xml:space="preserve"> （</w:t>
      </w:r>
      <w:r>
        <w:rPr>
          <w:rFonts w:ascii="Times New Roman" w:hAnsi="Times New Roman" w:eastAsia="宋体" w:cs="Times New Roman"/>
          <w:color w:val="auto"/>
          <w:sz w:val="21"/>
        </w:rPr>
        <w:t>12.00±</w:t>
      </w:r>
      <w:r>
        <w:rPr>
          <w:rFonts w:hint="eastAsia" w:ascii="Times New Roman" w:hAnsi="Times New Roman" w:eastAsia="宋体" w:cs="Times New Roman"/>
          <w:color w:val="auto"/>
          <w:sz w:val="21"/>
          <w:lang w:eastAsia="zh-CN"/>
        </w:rPr>
        <w:t>1</w:t>
      </w:r>
      <w:r>
        <w:rPr>
          <w:rFonts w:ascii="Times New Roman" w:hAnsi="Times New Roman" w:eastAsia="宋体" w:cs="Times New Roman"/>
          <w:color w:val="auto"/>
          <w:sz w:val="21"/>
        </w:rPr>
        <w:t>.97</w:t>
      </w:r>
      <w:r>
        <w:rPr>
          <w:rFonts w:ascii="Times New Roman" w:hAnsi="Times New Roman" w:eastAsia="宋体" w:cs="Times New Roman"/>
          <w:color w:val="auto"/>
        </w:rPr>
        <w:t>） s，</w:t>
      </w:r>
      <w:r>
        <w:rPr>
          <w:rFonts w:ascii="Times New Roman" w:hAnsi="Times New Roman" w:eastAsia="宋体" w:cs="Times New Roman"/>
          <w:i/>
          <w:iCs/>
          <w:color w:val="auto"/>
        </w:rPr>
        <w:t>t</w:t>
      </w:r>
      <w:r>
        <w:rPr>
          <w:rFonts w:ascii="Times New Roman" w:hAnsi="Times New Roman" w:eastAsia="宋体" w:cs="Times New Roman"/>
          <w:color w:val="auto"/>
        </w:rPr>
        <w:t>=</w:t>
      </w:r>
      <w:r>
        <w:rPr>
          <w:rFonts w:hint="eastAsia" w:ascii="Times New Roman" w:hAnsi="Times New Roman" w:eastAsia="宋体" w:cs="Times New Roman"/>
          <w:color w:val="auto"/>
          <w:sz w:val="21"/>
          <w:lang w:val="en-US" w:eastAsia="zh-CN"/>
        </w:rPr>
        <w:t>10.688</w:t>
      </w:r>
      <w:r>
        <w:rPr>
          <w:rFonts w:ascii="Times New Roman" w:hAnsi="Times New Roman" w:eastAsia="宋体" w:cs="Times New Roman"/>
          <w:color w:val="auto"/>
        </w:rPr>
        <w:t>，</w:t>
      </w:r>
      <w:r>
        <w:rPr>
          <w:rFonts w:ascii="Times New Roman" w:hAnsi="Times New Roman" w:eastAsia="宋体" w:cs="Times New Roman"/>
          <w:i/>
          <w:iCs/>
          <w:color w:val="auto"/>
        </w:rPr>
        <w:t>P</w:t>
      </w:r>
      <w:r>
        <w:rPr>
          <w:rFonts w:ascii="Times New Roman" w:hAnsi="Times New Roman" w:eastAsia="宋体" w:cs="Times New Roman"/>
          <w:color w:val="auto"/>
        </w:rPr>
        <w:t xml:space="preserve">&lt;0.001]、TT[24.80（22.95，26.33）s </w:t>
      </w:r>
      <w:r>
        <w:rPr>
          <w:rFonts w:ascii="Times New Roman" w:hAnsi="Times New Roman" w:eastAsia="宋体" w:cs="Times New Roman"/>
          <w:i/>
          <w:iCs/>
          <w:color w:val="auto"/>
        </w:rPr>
        <w:t>vs</w:t>
      </w:r>
      <w:r>
        <w:rPr>
          <w:rFonts w:ascii="Times New Roman" w:hAnsi="Times New Roman" w:eastAsia="宋体" w:cs="Times New Roman"/>
          <w:color w:val="auto"/>
        </w:rPr>
        <w:t xml:space="preserve"> 16.98（15.16，18.73） s，</w:t>
      </w:r>
      <w:r>
        <w:rPr>
          <w:rFonts w:ascii="Times New Roman" w:hAnsi="Times New Roman" w:eastAsia="宋体" w:cs="Times New Roman"/>
          <w:i/>
          <w:iCs/>
          <w:color w:val="auto"/>
        </w:rPr>
        <w:t>U</w:t>
      </w:r>
      <w:r>
        <w:rPr>
          <w:rFonts w:ascii="Times New Roman" w:hAnsi="Times New Roman" w:eastAsia="宋体" w:cs="Times New Roman"/>
          <w:color w:val="auto"/>
        </w:rPr>
        <w:t>=</w:t>
      </w:r>
      <w:r>
        <w:rPr>
          <w:rFonts w:hint="eastAsia" w:ascii="Times New Roman" w:hAnsi="Times New Roman" w:eastAsia="宋体" w:cs="Times New Roman"/>
          <w:color w:val="auto"/>
          <w:lang w:val="en-US" w:eastAsia="zh-CN"/>
        </w:rPr>
        <w:t>4.412</w:t>
      </w:r>
      <w:r>
        <w:rPr>
          <w:rFonts w:ascii="Times New Roman" w:hAnsi="Times New Roman" w:eastAsia="宋体" w:cs="Times New Roman"/>
          <w:color w:val="auto"/>
        </w:rPr>
        <w:t>，</w:t>
      </w:r>
      <w:r>
        <w:rPr>
          <w:rFonts w:ascii="Times New Roman" w:hAnsi="Times New Roman" w:eastAsia="宋体" w:cs="Times New Roman"/>
          <w:i/>
          <w:iCs/>
          <w:color w:val="auto"/>
        </w:rPr>
        <w:t>P</w:t>
      </w:r>
      <w:r>
        <w:rPr>
          <w:rFonts w:ascii="Times New Roman" w:hAnsi="Times New Roman" w:eastAsia="宋体" w:cs="Times New Roman"/>
          <w:color w:val="auto"/>
        </w:rPr>
        <w:t>&lt;0.001</w:t>
      </w:r>
      <w:r>
        <w:rPr>
          <w:rFonts w:ascii="Times New Roman" w:hAnsi="Times New Roman" w:eastAsia="宋体" w:cs="Times New Roman"/>
          <w:color w:val="auto"/>
        </w:rPr>
        <w:t>]、APTT[（</w:t>
      </w:r>
      <w:r>
        <w:rPr>
          <w:rFonts w:ascii="Times New Roman" w:hAnsi="Times New Roman" w:eastAsia="宋体" w:cs="Times New Roman"/>
          <w:color w:val="auto"/>
          <w:sz w:val="21"/>
          <w:highlight w:val="none"/>
        </w:rPr>
        <w:t>35.</w:t>
      </w:r>
      <w:r>
        <w:rPr>
          <w:rFonts w:hint="eastAsia" w:ascii="Times New Roman" w:hAnsi="Times New Roman" w:eastAsia="宋体" w:cs="Times New Roman"/>
          <w:color w:val="auto"/>
          <w:sz w:val="21"/>
          <w:highlight w:val="none"/>
          <w:lang w:eastAsia="zh-CN"/>
        </w:rPr>
        <w:t>4</w:t>
      </w:r>
      <w:r>
        <w:rPr>
          <w:rFonts w:hint="eastAsia" w:ascii="Times New Roman" w:hAnsi="Times New Roman" w:eastAsia="宋体" w:cs="Times New Roman"/>
          <w:color w:val="auto"/>
          <w:sz w:val="21"/>
          <w:highlight w:val="none"/>
          <w:lang w:val="en-US" w:eastAsia="zh-CN"/>
        </w:rPr>
        <w:t>5</w:t>
      </w:r>
      <w:r>
        <w:rPr>
          <w:rFonts w:ascii="Times New Roman" w:hAnsi="Times New Roman" w:eastAsia="宋体" w:cs="Times New Roman"/>
          <w:color w:val="auto"/>
          <w:sz w:val="21"/>
          <w:highlight w:val="none"/>
        </w:rPr>
        <w:t>±5.49</w:t>
      </w:r>
      <w:r>
        <w:rPr>
          <w:rFonts w:ascii="Times New Roman" w:hAnsi="Times New Roman" w:eastAsia="宋体" w:cs="Times New Roman"/>
          <w:color w:val="auto"/>
        </w:rPr>
        <w:t xml:space="preserve">） s </w:t>
      </w:r>
      <w:r>
        <w:rPr>
          <w:rFonts w:ascii="Times New Roman" w:hAnsi="Times New Roman" w:eastAsia="宋体" w:cs="Times New Roman"/>
          <w:i/>
          <w:iCs/>
          <w:color w:val="auto"/>
        </w:rPr>
        <w:t>vs</w:t>
      </w:r>
      <w:r>
        <w:rPr>
          <w:rFonts w:ascii="Times New Roman" w:hAnsi="Times New Roman" w:eastAsia="宋体" w:cs="Times New Roman"/>
          <w:color w:val="auto"/>
        </w:rPr>
        <w:t xml:space="preserve"> （27.99±2.91） s，</w:t>
      </w:r>
      <w:r>
        <w:rPr>
          <w:rFonts w:ascii="Times New Roman" w:hAnsi="Times New Roman" w:eastAsia="宋体" w:cs="Times New Roman"/>
          <w:i/>
          <w:iCs/>
          <w:color w:val="auto"/>
        </w:rPr>
        <w:t>t</w:t>
      </w:r>
      <w:r>
        <w:rPr>
          <w:rFonts w:ascii="Times New Roman" w:hAnsi="Times New Roman" w:eastAsia="宋体" w:cs="Times New Roman"/>
          <w:color w:val="auto"/>
        </w:rPr>
        <w:t>=</w:t>
      </w:r>
      <w:r>
        <w:rPr>
          <w:rFonts w:hint="eastAsia" w:ascii="Times New Roman" w:hAnsi="Times New Roman" w:eastAsia="宋体" w:cs="Times New Roman"/>
          <w:color w:val="auto"/>
          <w:sz w:val="21"/>
          <w:highlight w:val="none"/>
          <w:lang w:val="en-US" w:eastAsia="zh-CN"/>
        </w:rPr>
        <w:t>13.898</w:t>
      </w:r>
      <w:r>
        <w:rPr>
          <w:rFonts w:ascii="Times New Roman" w:hAnsi="Times New Roman" w:eastAsia="宋体" w:cs="Times New Roman"/>
          <w:color w:val="auto"/>
        </w:rPr>
        <w:t>，</w:t>
      </w:r>
      <w:r>
        <w:rPr>
          <w:rFonts w:ascii="Times New Roman" w:hAnsi="Times New Roman" w:eastAsia="宋体" w:cs="Times New Roman"/>
          <w:i/>
          <w:iCs/>
          <w:color w:val="auto"/>
        </w:rPr>
        <w:t>P</w:t>
      </w:r>
      <w:r>
        <w:rPr>
          <w:rFonts w:ascii="Times New Roman" w:hAnsi="Times New Roman" w:eastAsia="宋体" w:cs="Times New Roman"/>
          <w:color w:val="auto"/>
        </w:rPr>
        <w:t>&lt;0.001]均明显延长，差异均有统计学意义。</w:t>
      </w:r>
      <w:r>
        <w:rPr>
          <w:rFonts w:ascii="Times New Roman" w:hAnsi="Times New Roman" w:eastAsia="宋体" w:cs="Times New Roman"/>
          <w:color w:val="auto"/>
          <w:szCs w:val="18"/>
        </w:rPr>
        <w:t>轻度、中度、中重度、重度缺损组</w:t>
      </w:r>
      <w:r>
        <w:rPr>
          <w:rFonts w:ascii="Times New Roman" w:hAnsi="Times New Roman" w:eastAsia="宋体" w:cs="Times New Roman"/>
          <w:color w:val="auto"/>
        </w:rPr>
        <w:t>HICH患者的</w:t>
      </w:r>
      <w:r>
        <w:rPr>
          <w:rFonts w:ascii="Times New Roman" w:hAnsi="Times New Roman" w:eastAsia="宋体" w:cs="Times New Roman"/>
          <w:color w:val="auto"/>
          <w:szCs w:val="18"/>
        </w:rPr>
        <w:t>血清VE-cadherin、S1P、D-D、FIB水平依次升高，PT、TT、APTT依次延长（</w:t>
      </w:r>
      <w:r>
        <w:rPr>
          <w:rFonts w:ascii="Times New Roman" w:hAnsi="Times New Roman" w:eastAsia="宋体" w:cs="Times New Roman"/>
          <w:i/>
          <w:color w:val="auto"/>
        </w:rPr>
        <w:t>P</w:t>
      </w:r>
      <w:r>
        <w:rPr>
          <w:rFonts w:ascii="Times New Roman" w:hAnsi="Times New Roman" w:eastAsia="宋体" w:cs="Times New Roman"/>
          <w:iCs/>
          <w:color w:val="auto"/>
        </w:rPr>
        <w:t>均</w:t>
      </w:r>
      <w:r>
        <w:rPr>
          <w:rFonts w:ascii="Times New Roman" w:hAnsi="Times New Roman" w:eastAsia="宋体" w:cs="Times New Roman"/>
          <w:color w:val="auto"/>
        </w:rPr>
        <w:t>&lt;0.05</w:t>
      </w:r>
      <w:r>
        <w:rPr>
          <w:rFonts w:ascii="Times New Roman" w:hAnsi="Times New Roman" w:eastAsia="宋体" w:cs="Times New Roman"/>
          <w:color w:val="auto"/>
          <w:szCs w:val="18"/>
        </w:rPr>
        <w:t>）。HICH患者血清VE-cadherin、S1P水平与病情程度、D-D、FIB、PT、TT、APTT均呈正相关（</w:t>
      </w:r>
      <w:r>
        <w:rPr>
          <w:rFonts w:ascii="Times New Roman" w:hAnsi="Times New Roman" w:eastAsia="宋体" w:cs="Times New Roman"/>
          <w:i/>
          <w:color w:val="auto"/>
          <w:szCs w:val="18"/>
        </w:rPr>
        <w:t>P</w:t>
      </w:r>
      <w:r>
        <w:rPr>
          <w:rFonts w:ascii="Times New Roman" w:hAnsi="Times New Roman" w:eastAsia="宋体" w:cs="Times New Roman"/>
          <w:color w:val="auto"/>
          <w:szCs w:val="18"/>
        </w:rPr>
        <w:t>均&lt;0.001）。</w:t>
      </w:r>
      <w:r>
        <w:rPr>
          <w:rFonts w:ascii="Times New Roman" w:hAnsi="Times New Roman" w:eastAsia="宋体" w:cs="Times New Roman"/>
          <w:color w:val="auto"/>
        </w:rPr>
        <w:t>多因素Logistic回归分析</w:t>
      </w:r>
      <w:r>
        <w:rPr>
          <w:rFonts w:hint="eastAsia" w:ascii="Times New Roman" w:hAnsi="Times New Roman" w:eastAsia="宋体" w:cs="Times New Roman"/>
          <w:color w:val="auto"/>
        </w:rPr>
        <w:t>显示：</w:t>
      </w:r>
      <w:r>
        <w:rPr>
          <w:rFonts w:ascii="Times New Roman" w:hAnsi="Times New Roman" w:eastAsia="宋体" w:cs="Times New Roman"/>
          <w:color w:val="auto"/>
          <w:szCs w:val="18"/>
        </w:rPr>
        <w:t>血肿体积增加、入院时NIHSS评分增加、VE-cadherin升高、S1P升高均为HICH患者短期预后不良的独立危险因素（</w:t>
      </w:r>
      <w:r>
        <w:rPr>
          <w:rFonts w:ascii="Times New Roman" w:hAnsi="Times New Roman" w:eastAsia="宋体" w:cs="Times New Roman"/>
          <w:i/>
          <w:color w:val="auto"/>
        </w:rPr>
        <w:t>P</w:t>
      </w:r>
      <w:r>
        <w:rPr>
          <w:rFonts w:ascii="Times New Roman" w:hAnsi="Times New Roman" w:eastAsia="宋体" w:cs="Times New Roman"/>
          <w:iCs/>
          <w:color w:val="auto"/>
        </w:rPr>
        <w:t>均</w:t>
      </w:r>
      <w:r>
        <w:rPr>
          <w:rFonts w:ascii="Times New Roman" w:hAnsi="Times New Roman" w:eastAsia="宋体" w:cs="Times New Roman"/>
          <w:color w:val="auto"/>
        </w:rPr>
        <w:t>&lt;0.05</w:t>
      </w:r>
      <w:r>
        <w:rPr>
          <w:rFonts w:ascii="Times New Roman" w:hAnsi="Times New Roman" w:eastAsia="宋体" w:cs="Times New Roman"/>
          <w:color w:val="auto"/>
          <w:szCs w:val="18"/>
        </w:rPr>
        <w:t>），入院时格拉斯哥昏迷（GCS）评分增加为独立保护因素（</w:t>
      </w:r>
      <w:r>
        <w:rPr>
          <w:rFonts w:ascii="Times New Roman" w:hAnsi="Times New Roman" w:eastAsia="宋体" w:cs="Times New Roman"/>
          <w:i/>
          <w:color w:val="auto"/>
          <w:szCs w:val="18"/>
        </w:rPr>
        <w:t>P</w:t>
      </w:r>
      <w:r>
        <w:rPr>
          <w:rFonts w:ascii="Times New Roman" w:hAnsi="Times New Roman" w:eastAsia="宋体" w:cs="Times New Roman"/>
          <w:color w:val="auto"/>
          <w:szCs w:val="18"/>
        </w:rPr>
        <w:t>&lt;0.05）。血清VE-cadherin、S1P水平及二者联合预测HICH患者短期预后的曲线下面积分别为0.832、0.820和0.908，敏感度分别为0.557、0.656和0.853，特异度分别为0.959、0.849和0.808，二者联合均显著优于血清VE-cadherin、S1P水平单独预测效能（</w:t>
      </w:r>
      <w:r>
        <w:rPr>
          <w:rFonts w:ascii="Times New Roman" w:hAnsi="Times New Roman" w:eastAsia="宋体" w:cs="Times New Roman"/>
          <w:i/>
          <w:color w:val="auto"/>
        </w:rPr>
        <w:t>Z</w:t>
      </w:r>
      <w:r>
        <w:rPr>
          <w:rFonts w:hint="eastAsia" w:ascii="Times New Roman" w:hAnsi="Times New Roman" w:eastAsia="宋体" w:cs="Times New Roman"/>
          <w:color w:val="auto"/>
        </w:rPr>
        <w:t>=</w:t>
      </w:r>
      <w:r>
        <w:rPr>
          <w:rFonts w:ascii="Times New Roman" w:hAnsi="Times New Roman" w:eastAsia="宋体" w:cs="Times New Roman"/>
          <w:color w:val="auto"/>
        </w:rPr>
        <w:t>2.921、3.107，</w:t>
      </w:r>
      <w:r>
        <w:rPr>
          <w:rFonts w:ascii="Times New Roman" w:hAnsi="Times New Roman" w:eastAsia="宋体" w:cs="Times New Roman"/>
          <w:i/>
          <w:color w:val="auto"/>
        </w:rPr>
        <w:t>P</w:t>
      </w:r>
      <w:r>
        <w:rPr>
          <w:rFonts w:hint="eastAsia" w:ascii="Times New Roman" w:hAnsi="Times New Roman" w:eastAsia="宋体" w:cs="Times New Roman"/>
          <w:color w:val="auto"/>
        </w:rPr>
        <w:t>=</w:t>
      </w:r>
      <w:r>
        <w:rPr>
          <w:rFonts w:ascii="Times New Roman" w:hAnsi="Times New Roman" w:eastAsia="宋体" w:cs="Times New Roman"/>
          <w:color w:val="auto"/>
        </w:rPr>
        <w:t>0.004、0.002</w:t>
      </w:r>
      <w:r>
        <w:rPr>
          <w:rFonts w:ascii="Times New Roman" w:hAnsi="Times New Roman" w:eastAsia="宋体" w:cs="Times New Roman"/>
          <w:color w:val="auto"/>
          <w:szCs w:val="18"/>
        </w:rPr>
        <w:t>）。</w:t>
      </w:r>
      <w:r>
        <w:rPr>
          <w:rFonts w:ascii="Times New Roman" w:hAnsi="Times New Roman" w:eastAsia="宋体" w:cs="Times New Roman"/>
          <w:b/>
          <w:bCs/>
          <w:color w:val="auto"/>
          <w:szCs w:val="18"/>
        </w:rPr>
        <w:t>结论</w:t>
      </w:r>
      <w:r>
        <w:rPr>
          <w:rFonts w:ascii="Times New Roman" w:hAnsi="Times New Roman" w:eastAsia="宋体" w:cs="Times New Roman"/>
          <w:color w:val="auto"/>
          <w:szCs w:val="18"/>
        </w:rPr>
        <w:t xml:space="preserve">  HICH患者血清VE-cadherin、S1P水平升高，与病情加重、凝血功能紊乱及短期预后不良有关，血清VE-cadherin、S1P水平联合对短期预后的预测效能较高。</w:t>
      </w:r>
    </w:p>
    <w:p w14:paraId="2030B0AA">
      <w:pPr>
        <w:pStyle w:val="33"/>
        <w:spacing w:line="360" w:lineRule="auto"/>
        <w:ind w:firstLine="422" w:firstLineChars="200"/>
        <w:rPr>
          <w:rFonts w:ascii="Times New Roman" w:hAnsi="Times New Roman" w:eastAsia="宋体" w:cs="Times New Roman"/>
          <w:color w:val="auto"/>
        </w:rPr>
      </w:pPr>
      <w:r>
        <w:rPr>
          <w:rFonts w:ascii="Times New Roman" w:hAnsi="Times New Roman" w:eastAsia="宋体" w:cs="Times New Roman"/>
          <w:b/>
          <w:bCs/>
          <w:color w:val="auto"/>
          <w:szCs w:val="18"/>
        </w:rPr>
        <w:t>【关键词】</w:t>
      </w:r>
      <w:r>
        <w:rPr>
          <w:rFonts w:ascii="Times New Roman" w:hAnsi="Times New Roman" w:eastAsia="宋体" w:cs="Times New Roman"/>
          <w:color w:val="auto"/>
          <w:szCs w:val="18"/>
        </w:rPr>
        <w:t>高血压脑出血；血管内皮钙黏蛋白；1-磷酸鞘氨酸；凝血功能；短期预后</w:t>
      </w:r>
    </w:p>
    <w:p w14:paraId="4321DFB9">
      <w:pPr>
        <w:pStyle w:val="35"/>
        <w:spacing w:line="360" w:lineRule="auto"/>
        <w:rPr>
          <w:rFonts w:ascii="Times New Roman" w:hAnsi="Times New Roman" w:eastAsia="宋体" w:cs="Times New Roman"/>
          <w:b/>
          <w:color w:val="auto"/>
          <w:sz w:val="21"/>
        </w:rPr>
      </w:pPr>
    </w:p>
    <w:p w14:paraId="33A1102D">
      <w:pPr>
        <w:pStyle w:val="36"/>
        <w:spacing w:before="0" w:line="360" w:lineRule="auto"/>
        <w:rPr>
          <w:rFonts w:ascii="Times New Roman" w:hAnsi="Times New Roman" w:cs="Times New Roman"/>
          <w:color w:val="auto"/>
          <w:sz w:val="21"/>
        </w:rPr>
      </w:pPr>
      <w:r>
        <w:rPr>
          <w:rFonts w:ascii="Times New Roman" w:hAnsi="Times New Roman" w:cs="Times New Roman"/>
          <w:b/>
          <w:color w:val="auto"/>
          <w:sz w:val="21"/>
        </w:rPr>
        <w:t>Relationship between serum vascular endothelial cadherin, sphingosine-1-phosphate levels and coagulation function as well as short-term prognosis in patients with hypertensive intracerebral hemorrhage</w:t>
      </w:r>
      <w:r>
        <w:rPr>
          <w:rFonts w:hint="eastAsia" w:ascii="Times New Roman" w:hAnsi="Times New Roman" w:cs="Times New Roman"/>
          <w:b/>
          <w:color w:val="auto"/>
          <w:sz w:val="21"/>
        </w:rPr>
        <w:t xml:space="preserve">  </w:t>
      </w:r>
      <w:r>
        <w:rPr>
          <w:rFonts w:hint="eastAsia" w:ascii="Times New Roman" w:hAnsi="Times New Roman" w:cs="Times New Roman"/>
          <w:bCs/>
          <w:color w:val="auto"/>
          <w:sz w:val="21"/>
        </w:rPr>
        <w:t xml:space="preserve">Chen </w:t>
      </w:r>
      <w:r>
        <w:rPr>
          <w:rFonts w:ascii="Times New Roman" w:hAnsi="Times New Roman" w:cs="Times New Roman"/>
          <w:i/>
          <w:iCs/>
          <w:color w:val="auto"/>
          <w:sz w:val="21"/>
        </w:rPr>
        <w:t>Weifeng</w:t>
      </w:r>
      <w:r>
        <w:rPr>
          <w:rFonts w:ascii="Times New Roman" w:hAnsi="Times New Roman" w:cs="Times New Roman"/>
          <w:i/>
          <w:iCs/>
          <w:color w:val="auto"/>
          <w:sz w:val="21"/>
          <w:vertAlign w:val="superscript"/>
        </w:rPr>
        <w:t>1</w:t>
      </w:r>
      <w:r>
        <w:rPr>
          <w:rFonts w:ascii="Times New Roman" w:hAnsi="Times New Roman" w:cs="Times New Roman"/>
          <w:i/>
          <w:iCs/>
          <w:color w:val="auto"/>
          <w:sz w:val="21"/>
        </w:rPr>
        <w:t>, Wu Qianlan</w:t>
      </w:r>
      <w:r>
        <w:rPr>
          <w:rFonts w:ascii="Times New Roman" w:hAnsi="Times New Roman" w:cs="Times New Roman"/>
          <w:i/>
          <w:iCs/>
          <w:color w:val="auto"/>
          <w:sz w:val="21"/>
          <w:vertAlign w:val="superscript"/>
        </w:rPr>
        <w:t>2</w:t>
      </w:r>
      <w:r>
        <w:rPr>
          <w:rFonts w:ascii="Times New Roman" w:hAnsi="Times New Roman" w:cs="Times New Roman"/>
          <w:i/>
          <w:iCs/>
          <w:color w:val="auto"/>
          <w:sz w:val="21"/>
        </w:rPr>
        <w:t>, Zhao Chunmei</w:t>
      </w:r>
      <w:r>
        <w:rPr>
          <w:rFonts w:ascii="Times New Roman" w:hAnsi="Times New Roman" w:cs="Times New Roman"/>
          <w:i/>
          <w:iCs/>
          <w:color w:val="auto"/>
          <w:sz w:val="21"/>
          <w:vertAlign w:val="superscript"/>
        </w:rPr>
        <w:t>1</w:t>
      </w:r>
      <w:r>
        <w:rPr>
          <w:rFonts w:ascii="Times New Roman" w:hAnsi="Times New Roman" w:cs="Times New Roman"/>
          <w:i/>
          <w:iCs/>
          <w:color w:val="auto"/>
          <w:sz w:val="21"/>
        </w:rPr>
        <w:t>, Zhang Hanfei</w:t>
      </w:r>
      <w:r>
        <w:rPr>
          <w:rFonts w:ascii="Times New Roman" w:hAnsi="Times New Roman" w:cs="Times New Roman"/>
          <w:i/>
          <w:iCs/>
          <w:color w:val="auto"/>
          <w:sz w:val="21"/>
          <w:vertAlign w:val="superscript"/>
        </w:rPr>
        <w:t>3</w:t>
      </w:r>
      <w:r>
        <w:rPr>
          <w:rFonts w:ascii="Times New Roman" w:hAnsi="Times New Roman" w:cs="Times New Roman"/>
          <w:i/>
          <w:iCs/>
          <w:color w:val="auto"/>
          <w:sz w:val="21"/>
        </w:rPr>
        <w:t>, Yue Chao</w:t>
      </w:r>
      <w:r>
        <w:rPr>
          <w:rFonts w:ascii="Times New Roman" w:hAnsi="Times New Roman" w:cs="Times New Roman"/>
          <w:i/>
          <w:iCs/>
          <w:color w:val="auto"/>
          <w:sz w:val="21"/>
          <w:vertAlign w:val="superscript"/>
        </w:rPr>
        <w:t>1</w:t>
      </w:r>
      <w:r>
        <w:rPr>
          <w:rFonts w:ascii="Times New Roman" w:hAnsi="Times New Roman" w:cs="Times New Roman"/>
          <w:i/>
          <w:iCs/>
          <w:color w:val="auto"/>
          <w:sz w:val="21"/>
        </w:rPr>
        <w:t>, Fan Huaibao</w:t>
      </w:r>
      <w:r>
        <w:rPr>
          <w:rFonts w:ascii="Times New Roman" w:hAnsi="Times New Roman" w:cs="Times New Roman"/>
          <w:i/>
          <w:iCs/>
          <w:color w:val="auto"/>
          <w:sz w:val="21"/>
          <w:vertAlign w:val="superscript"/>
        </w:rPr>
        <w:t>1</w:t>
      </w:r>
      <w:r>
        <w:rPr>
          <w:rFonts w:ascii="Times New Roman" w:hAnsi="Times New Roman" w:cs="Times New Roman"/>
          <w:i/>
          <w:iCs/>
          <w:color w:val="auto"/>
          <w:sz w:val="21"/>
        </w:rPr>
        <w:t>, Zhao Yuyao</w:t>
      </w:r>
      <w:r>
        <w:rPr>
          <w:rFonts w:ascii="Times New Roman" w:hAnsi="Times New Roman" w:cs="Times New Roman"/>
          <w:i/>
          <w:iCs/>
          <w:color w:val="auto"/>
          <w:sz w:val="21"/>
          <w:vertAlign w:val="superscript"/>
        </w:rPr>
        <w:t>1</w:t>
      </w:r>
      <w:r>
        <w:rPr>
          <w:rFonts w:ascii="Times New Roman" w:hAnsi="Times New Roman" w:cs="Times New Roman"/>
          <w:i/>
          <w:iCs/>
          <w:color w:val="auto"/>
          <w:sz w:val="21"/>
          <w:vertAlign w:val="subscript"/>
        </w:rPr>
        <w:t xml:space="preserve">. </w:t>
      </w:r>
      <w:r>
        <w:rPr>
          <w:rFonts w:ascii="Times New Roman" w:hAnsi="Times New Roman" w:cs="Times New Roman"/>
          <w:i/>
          <w:iCs/>
          <w:color w:val="auto"/>
          <w:kern w:val="2"/>
          <w:sz w:val="21"/>
          <w:vertAlign w:val="superscript"/>
        </w:rPr>
        <w:t>1</w:t>
      </w:r>
      <w:r>
        <w:rPr>
          <w:rFonts w:ascii="Times New Roman" w:hAnsi="Times New Roman" w:cs="Times New Roman"/>
          <w:i/>
          <w:iCs/>
          <w:color w:val="auto"/>
          <w:sz w:val="21"/>
        </w:rPr>
        <w:t>Department of Neurosurgery</w:t>
      </w:r>
      <w:r>
        <w:rPr>
          <w:rFonts w:hint="eastAsia" w:ascii="Times New Roman" w:hAnsi="Times New Roman" w:cs="Times New Roman"/>
          <w:i/>
          <w:iCs/>
          <w:color w:val="auto"/>
          <w:sz w:val="21"/>
        </w:rPr>
        <w:t>,</w:t>
      </w:r>
      <w:r>
        <w:rPr>
          <w:rFonts w:ascii="Times New Roman" w:hAnsi="Times New Roman" w:cs="Times New Roman"/>
          <w:i/>
          <w:iCs/>
          <w:color w:val="auto"/>
          <w:sz w:val="21"/>
        </w:rPr>
        <w:t xml:space="preserve"> </w:t>
      </w:r>
      <w:r>
        <w:rPr>
          <w:rFonts w:ascii="Times New Roman" w:hAnsi="Times New Roman" w:cs="Times New Roman"/>
          <w:i/>
          <w:iCs/>
          <w:color w:val="auto"/>
          <w:kern w:val="2"/>
          <w:sz w:val="21"/>
          <w:vertAlign w:val="superscript"/>
        </w:rPr>
        <w:t>3</w:t>
      </w:r>
      <w:r>
        <w:rPr>
          <w:rFonts w:ascii="Times New Roman" w:hAnsi="Times New Roman" w:cs="Times New Roman"/>
          <w:i/>
          <w:iCs/>
          <w:color w:val="auto"/>
          <w:sz w:val="21"/>
        </w:rPr>
        <w:t xml:space="preserve">Department of Neurology, Handan Central Hospital, Handan  057150, China; </w:t>
      </w:r>
      <w:r>
        <w:rPr>
          <w:rFonts w:ascii="Times New Roman" w:hAnsi="Times New Roman" w:cs="Times New Roman"/>
          <w:i/>
          <w:iCs/>
          <w:color w:val="auto"/>
          <w:kern w:val="2"/>
          <w:sz w:val="21"/>
          <w:vertAlign w:val="superscript"/>
        </w:rPr>
        <w:t>2</w:t>
      </w:r>
      <w:r>
        <w:rPr>
          <w:rFonts w:ascii="Times New Roman" w:hAnsi="Times New Roman" w:cs="Times New Roman"/>
          <w:i/>
          <w:iCs/>
          <w:color w:val="auto"/>
          <w:sz w:val="21"/>
        </w:rPr>
        <w:t>Department of Pathology, Handan First Hospital, Handan  056000, China</w:t>
      </w:r>
    </w:p>
    <w:p w14:paraId="40720A73">
      <w:pPr>
        <w:pStyle w:val="36"/>
        <w:spacing w:before="0" w:line="360" w:lineRule="auto"/>
        <w:rPr>
          <w:rFonts w:ascii="Times New Roman" w:hAnsi="Times New Roman" w:cs="Times New Roman"/>
          <w:b/>
          <w:i/>
          <w:iCs/>
          <w:color w:val="auto"/>
          <w:sz w:val="21"/>
        </w:rPr>
      </w:pPr>
      <w:r>
        <w:rPr>
          <w:rFonts w:ascii="Times New Roman" w:hAnsi="Times New Roman" w:cs="Times New Roman"/>
          <w:bCs/>
          <w:i/>
          <w:iCs/>
          <w:color w:val="auto"/>
          <w:sz w:val="21"/>
        </w:rPr>
        <w:t xml:space="preserve">Corresponding author: </w:t>
      </w:r>
      <w:r>
        <w:rPr>
          <w:rFonts w:ascii="Times New Roman" w:hAnsi="Times New Roman" w:cs="Times New Roman"/>
          <w:i/>
          <w:iCs/>
          <w:color w:val="auto"/>
          <w:sz w:val="21"/>
        </w:rPr>
        <w:t>Wu Qianlan</w:t>
      </w:r>
      <w:r>
        <w:rPr>
          <w:rFonts w:ascii="Times New Roman" w:hAnsi="Times New Roman" w:cs="Times New Roman"/>
          <w:bCs/>
          <w:i/>
          <w:iCs/>
          <w:color w:val="auto"/>
          <w:sz w:val="21"/>
        </w:rPr>
        <w:t xml:space="preserve">, Email: </w:t>
      </w:r>
      <w:r>
        <w:rPr>
          <w:rFonts w:ascii="Times New Roman" w:hAnsi="Times New Roman" w:cs="Times New Roman"/>
          <w:i/>
          <w:iCs/>
          <w:color w:val="auto"/>
          <w:sz w:val="21"/>
          <w:szCs w:val="42"/>
        </w:rPr>
        <w:t>277708676@qq.com</w:t>
      </w:r>
    </w:p>
    <w:p w14:paraId="48D7DD91">
      <w:pPr>
        <w:pStyle w:val="36"/>
        <w:spacing w:before="0" w:line="360" w:lineRule="auto"/>
        <w:rPr>
          <w:rFonts w:ascii="Times New Roman" w:hAnsi="Times New Roman" w:cs="Times New Roman"/>
          <w:b/>
          <w:color w:val="auto"/>
          <w:sz w:val="21"/>
        </w:rPr>
      </w:pPr>
    </w:p>
    <w:p w14:paraId="5E6E12BE">
      <w:pPr>
        <w:pStyle w:val="36"/>
        <w:spacing w:before="0" w:line="360" w:lineRule="auto"/>
        <w:ind w:firstLine="422" w:firstLineChars="200"/>
        <w:rPr>
          <w:rFonts w:ascii="Times New Roman" w:hAnsi="Times New Roman" w:cs="Times New Roman"/>
          <w:color w:val="auto"/>
          <w:sz w:val="21"/>
          <w:szCs w:val="21"/>
        </w:rPr>
      </w:pPr>
      <w:r>
        <w:rPr>
          <w:rFonts w:ascii="Times New Roman" w:hAnsi="Times New Roman" w:cs="Times New Roman"/>
          <w:b/>
          <w:color w:val="auto"/>
          <w:sz w:val="21"/>
        </w:rPr>
        <w:t>【Abstract】</w:t>
      </w:r>
      <w:r>
        <w:rPr>
          <w:rFonts w:ascii="Times New Roman" w:hAnsi="Times New Roman" w:cs="Times New Roman"/>
          <w:color w:val="auto"/>
          <w:sz w:val="21"/>
        </w:rPr>
        <w:t xml:space="preserve"> </w:t>
      </w:r>
      <w:r>
        <w:rPr>
          <w:rFonts w:ascii="Times New Roman" w:hAnsi="Times New Roman" w:cs="Times New Roman"/>
          <w:b/>
          <w:bCs/>
          <w:color w:val="auto"/>
          <w:sz w:val="21"/>
        </w:rPr>
        <w:t>Objective</w:t>
      </w:r>
      <w:r>
        <w:rPr>
          <w:rFonts w:ascii="Times New Roman" w:hAnsi="Times New Roman" w:cs="Times New Roman"/>
          <w:color w:val="auto"/>
          <w:sz w:val="21"/>
        </w:rPr>
        <w:t xml:space="preserve">  To investigate the relationship between serum vascular endothelial cadherin (VE-cadherin) and sphingosine-1-phosphate (S1P) levels with coagulation function and short-term prognosis in patients with hypertensive intracerebral hemorrhage (HICH). </w:t>
      </w:r>
      <w:r>
        <w:rPr>
          <w:rFonts w:ascii="Times New Roman" w:hAnsi="Times New Roman" w:cs="Times New Roman"/>
          <w:b/>
          <w:bCs/>
          <w:color w:val="auto"/>
          <w:sz w:val="21"/>
        </w:rPr>
        <w:t xml:space="preserve">Methods  </w:t>
      </w:r>
      <w:r>
        <w:rPr>
          <w:rFonts w:ascii="Times New Roman" w:hAnsi="Times New Roman" w:cs="Times New Roman"/>
          <w:b w:val="0"/>
          <w:bCs w:val="0"/>
          <w:color w:val="auto"/>
          <w:sz w:val="21"/>
        </w:rPr>
        <w:t>A total of 134 HICH patients admitted to Handan Central Hospital from January 2022 to September 2024 were prospectively selected as the experimental group, and 134 healthy volunteers from the same period were selected as the control group in a 1:1 ratio. T-tests or U-tests were used to compare serum levels of VE-cadherin, S1P, and coagulation function [including D-dimer (D-D), fibrinogen (FIB), prothrombin time (PT), thrombin time (TT), and activated partial thromboplastin time (APTT)] between the two groups. HICH patients were divided into mild deficit group (</w:t>
      </w:r>
      <w:r>
        <w:rPr>
          <w:rFonts w:ascii="Times New Roman" w:hAnsi="Times New Roman" w:cs="Times New Roman"/>
          <w:b w:val="0"/>
          <w:bCs w:val="0"/>
          <w:i/>
          <w:iCs/>
          <w:color w:val="auto"/>
          <w:sz w:val="21"/>
        </w:rPr>
        <w:t>n</w:t>
      </w:r>
      <w:r>
        <w:rPr>
          <w:rFonts w:ascii="Times New Roman" w:hAnsi="Times New Roman" w:cs="Times New Roman"/>
          <w:b w:val="0"/>
          <w:bCs w:val="0"/>
          <w:color w:val="auto"/>
          <w:sz w:val="21"/>
        </w:rPr>
        <w:t>=41), moderate deficit group (</w:t>
      </w:r>
      <w:r>
        <w:rPr>
          <w:rFonts w:ascii="Times New Roman" w:hAnsi="Times New Roman" w:cs="Times New Roman"/>
          <w:b w:val="0"/>
          <w:bCs w:val="0"/>
          <w:i/>
          <w:iCs/>
          <w:color w:val="auto"/>
          <w:sz w:val="21"/>
        </w:rPr>
        <w:t>n</w:t>
      </w:r>
      <w:r>
        <w:rPr>
          <w:rFonts w:ascii="Times New Roman" w:hAnsi="Times New Roman" w:cs="Times New Roman"/>
          <w:b w:val="0"/>
          <w:bCs w:val="0"/>
          <w:color w:val="auto"/>
          <w:sz w:val="21"/>
        </w:rPr>
        <w:t>=33), moderately severe deficit group (</w:t>
      </w:r>
      <w:r>
        <w:rPr>
          <w:rFonts w:ascii="Times New Roman" w:hAnsi="Times New Roman" w:cs="Times New Roman"/>
          <w:b w:val="0"/>
          <w:bCs w:val="0"/>
          <w:i/>
          <w:iCs/>
          <w:color w:val="auto"/>
          <w:sz w:val="21"/>
        </w:rPr>
        <w:t>n</w:t>
      </w:r>
      <w:r>
        <w:rPr>
          <w:rFonts w:ascii="Times New Roman" w:hAnsi="Times New Roman" w:cs="Times New Roman"/>
          <w:b w:val="0"/>
          <w:bCs w:val="0"/>
          <w:color w:val="auto"/>
          <w:sz w:val="21"/>
        </w:rPr>
        <w:t>=35), and severe deficit group (</w:t>
      </w:r>
      <w:r>
        <w:rPr>
          <w:rFonts w:ascii="Times New Roman" w:hAnsi="Times New Roman" w:cs="Times New Roman"/>
          <w:b w:val="0"/>
          <w:bCs w:val="0"/>
          <w:i/>
          <w:iCs/>
          <w:color w:val="auto"/>
          <w:sz w:val="21"/>
        </w:rPr>
        <w:t>n</w:t>
      </w:r>
      <w:r>
        <w:rPr>
          <w:rFonts w:ascii="Times New Roman" w:hAnsi="Times New Roman" w:cs="Times New Roman"/>
          <w:b w:val="0"/>
          <w:bCs w:val="0"/>
          <w:color w:val="auto"/>
          <w:sz w:val="21"/>
        </w:rPr>
        <w:t xml:space="preserve">=25) based on the National Institutes of Health Stroke Scale (NIHSS) score at admission (severity of illness). Pearson/Spearman correlation analysis was used to analyze the correlation between serum VE-cadherin and S1P levels and disease severity as well as coagulation function in HICH patients. Based on the modified Rankin Scale (mRS) at 6-month follow-up, HICH patients were divided into poor outcome group (mRS &gt; 2 or death, </w:t>
      </w:r>
      <w:r>
        <w:rPr>
          <w:rFonts w:ascii="Times New Roman" w:hAnsi="Times New Roman" w:cs="Times New Roman"/>
          <w:b w:val="0"/>
          <w:bCs w:val="0"/>
          <w:i/>
          <w:iCs/>
          <w:color w:val="auto"/>
          <w:sz w:val="21"/>
        </w:rPr>
        <w:t>n</w:t>
      </w:r>
      <w:r>
        <w:rPr>
          <w:rFonts w:ascii="Times New Roman" w:hAnsi="Times New Roman" w:cs="Times New Roman"/>
          <w:b w:val="0"/>
          <w:bCs w:val="0"/>
          <w:color w:val="auto"/>
          <w:sz w:val="21"/>
        </w:rPr>
        <w:t xml:space="preserve">=60) and good outcome group (mRS ≤ 2, </w:t>
      </w:r>
      <w:r>
        <w:rPr>
          <w:rFonts w:ascii="Times New Roman" w:hAnsi="Times New Roman" w:cs="Times New Roman"/>
          <w:b w:val="0"/>
          <w:bCs w:val="0"/>
          <w:i/>
          <w:iCs/>
          <w:color w:val="auto"/>
          <w:sz w:val="21"/>
        </w:rPr>
        <w:t>n</w:t>
      </w:r>
      <w:r>
        <w:rPr>
          <w:rFonts w:ascii="Times New Roman" w:hAnsi="Times New Roman" w:cs="Times New Roman"/>
          <w:b w:val="0"/>
          <w:bCs w:val="0"/>
          <w:color w:val="auto"/>
          <w:sz w:val="21"/>
        </w:rPr>
        <w:t xml:space="preserve">=74). Univariate and multivariate logistic regression analyses were used to identify factors influencing short-term prognosis in HICH patients, and receiver operating characteristic (ROC) curve analysis was used to evaluate the predictive value of serum VE-cadherin and S1P levels for short-term prognosis. </w:t>
      </w:r>
      <w:r>
        <w:rPr>
          <w:rFonts w:ascii="Times New Roman" w:hAnsi="Times New Roman" w:cs="Times New Roman"/>
          <w:b/>
          <w:bCs/>
          <w:color w:val="auto"/>
          <w:sz w:val="21"/>
        </w:rPr>
        <w:t>Results</w:t>
      </w:r>
      <w:r>
        <w:rPr>
          <w:rFonts w:ascii="Times New Roman" w:hAnsi="Times New Roman" w:cs="Times New Roman"/>
          <w:color w:val="auto"/>
          <w:sz w:val="21"/>
        </w:rPr>
        <w:t xml:space="preserve">  Compared with the control group (healthy volunteers), the </w:t>
      </w:r>
      <w:r>
        <w:rPr>
          <w:rFonts w:hint="eastAsia" w:ascii="Times New Roman" w:hAnsi="Times New Roman" w:cs="Times New Roman"/>
          <w:color w:val="auto"/>
          <w:sz w:val="21"/>
        </w:rPr>
        <w:t>treatment</w:t>
      </w:r>
      <w:r>
        <w:rPr>
          <w:rFonts w:ascii="Times New Roman" w:hAnsi="Times New Roman" w:cs="Times New Roman"/>
          <w:color w:val="auto"/>
          <w:sz w:val="21"/>
        </w:rPr>
        <w:t xml:space="preserve"> group (HICH patients) showed significantly higher serum levels of VE-cadherin [5.81 (4.55, 6.97) mg/L </w:t>
      </w:r>
      <w:r>
        <w:rPr>
          <w:rFonts w:ascii="Times New Roman" w:hAnsi="Times New Roman" w:cs="Times New Roman"/>
          <w:i/>
          <w:color w:val="auto"/>
          <w:sz w:val="21"/>
        </w:rPr>
        <w:t>vs</w:t>
      </w:r>
      <w:r>
        <w:rPr>
          <w:rFonts w:ascii="Times New Roman" w:hAnsi="Times New Roman" w:cs="Times New Roman"/>
          <w:color w:val="auto"/>
          <w:sz w:val="21"/>
        </w:rPr>
        <w:t xml:space="preserve"> 3.08 (2.77, 3.43) mg/L, </w:t>
      </w:r>
      <w:r>
        <w:rPr>
          <w:rFonts w:ascii="Times New Roman" w:hAnsi="Times New Roman" w:cs="Times New Roman"/>
          <w:i/>
          <w:iCs/>
          <w:color w:val="auto"/>
          <w:sz w:val="21"/>
        </w:rPr>
        <w:t>U</w:t>
      </w:r>
      <w:r>
        <w:rPr>
          <w:rFonts w:ascii="Times New Roman" w:hAnsi="Times New Roman" w:cs="Times New Roman"/>
          <w:color w:val="auto"/>
          <w:sz w:val="21"/>
        </w:rPr>
        <w:t>=</w:t>
      </w:r>
      <w:r>
        <w:rPr>
          <w:rFonts w:hint="eastAsia" w:ascii="Times New Roman" w:hAnsi="Times New Roman" w:cs="Times New Roman"/>
          <w:color w:val="auto"/>
          <w:sz w:val="21"/>
          <w:lang w:val="en-US" w:eastAsia="zh-CN"/>
        </w:rPr>
        <w:t>4.314</w:t>
      </w:r>
      <w:r>
        <w:rPr>
          <w:rFonts w:ascii="Times New Roman" w:hAnsi="Times New Roman" w:cs="Times New Roman"/>
          <w:color w:val="auto"/>
          <w:sz w:val="21"/>
        </w:rPr>
        <w:t>,</w:t>
      </w:r>
      <w:r>
        <w:rPr>
          <w:rFonts w:ascii="Times New Roman" w:hAnsi="Times New Roman" w:cs="Times New Roman"/>
          <w:color w:val="auto"/>
          <w:sz w:val="21"/>
        </w:rPr>
        <w:t xml:space="preserve"> </w:t>
      </w:r>
      <w:r>
        <w:rPr>
          <w:rFonts w:ascii="Times New Roman" w:hAnsi="Times New Roman" w:cs="Times New Roman"/>
          <w:i/>
          <w:iCs/>
          <w:color w:val="auto"/>
          <w:sz w:val="21"/>
        </w:rPr>
        <w:t>P</w:t>
      </w:r>
      <w:r>
        <w:rPr>
          <w:rFonts w:ascii="Times New Roman" w:hAnsi="Times New Roman" w:cs="Times New Roman"/>
          <w:color w:val="auto"/>
          <w:sz w:val="21"/>
        </w:rPr>
        <w:t xml:space="preserve">&lt;0.001], S1P [(287.43±39.42) ng/mL </w:t>
      </w:r>
      <w:r>
        <w:rPr>
          <w:rFonts w:ascii="Times New Roman" w:hAnsi="Times New Roman" w:cs="Times New Roman"/>
          <w:i/>
          <w:color w:val="auto"/>
          <w:sz w:val="21"/>
        </w:rPr>
        <w:t>vs</w:t>
      </w:r>
      <w:r>
        <w:rPr>
          <w:rFonts w:ascii="Times New Roman" w:hAnsi="Times New Roman" w:cs="Times New Roman"/>
          <w:color w:val="auto"/>
          <w:sz w:val="21"/>
        </w:rPr>
        <w:t xml:space="preserve"> (210.06±28.01) ng/mL, </w:t>
      </w:r>
      <w:r>
        <w:rPr>
          <w:rFonts w:ascii="Times New Roman" w:hAnsi="Times New Roman" w:cs="Times New Roman"/>
          <w:i/>
          <w:iCs/>
          <w:color w:val="auto"/>
          <w:sz w:val="21"/>
        </w:rPr>
        <w:t>t</w:t>
      </w:r>
      <w:r>
        <w:rPr>
          <w:rFonts w:ascii="Times New Roman" w:hAnsi="Times New Roman" w:cs="Times New Roman"/>
          <w:color w:val="auto"/>
          <w:sz w:val="21"/>
        </w:rPr>
        <w:t>=</w:t>
      </w:r>
      <w:r>
        <w:rPr>
          <w:rFonts w:hint="eastAsia" w:ascii="Times New Roman" w:hAnsi="Times New Roman" w:eastAsia="宋体" w:cs="Times New Roman"/>
          <w:color w:val="auto"/>
          <w:sz w:val="21"/>
          <w:lang w:val="en-US" w:eastAsia="zh-CN"/>
        </w:rPr>
        <w:t>4.075</w:t>
      </w:r>
      <w:r>
        <w:rPr>
          <w:rFonts w:ascii="Times New Roman" w:hAnsi="Times New Roman" w:cs="Times New Roman"/>
          <w:color w:val="auto"/>
          <w:sz w:val="21"/>
        </w:rPr>
        <w:t xml:space="preserve">, </w:t>
      </w:r>
      <w:r>
        <w:rPr>
          <w:rFonts w:ascii="Times New Roman" w:hAnsi="Times New Roman" w:cs="Times New Roman"/>
          <w:i/>
          <w:iCs/>
          <w:color w:val="auto"/>
          <w:sz w:val="21"/>
        </w:rPr>
        <w:t>P</w:t>
      </w:r>
      <w:r>
        <w:rPr>
          <w:rFonts w:ascii="Times New Roman" w:hAnsi="Times New Roman" w:cs="Times New Roman"/>
          <w:color w:val="auto"/>
          <w:sz w:val="21"/>
        </w:rPr>
        <w:t xml:space="preserve">&lt;0.001], D-D [0.67 (0.53, 0.85) mg/L </w:t>
      </w:r>
      <w:r>
        <w:rPr>
          <w:rFonts w:ascii="Times New Roman" w:hAnsi="Times New Roman" w:cs="Times New Roman"/>
          <w:i/>
          <w:color w:val="auto"/>
          <w:sz w:val="21"/>
        </w:rPr>
        <w:t>vs</w:t>
      </w:r>
      <w:r>
        <w:rPr>
          <w:rFonts w:ascii="Times New Roman" w:hAnsi="Times New Roman" w:cs="Times New Roman"/>
          <w:color w:val="auto"/>
          <w:sz w:val="21"/>
        </w:rPr>
        <w:t xml:space="preserve"> 0.29 (0.23, 0.37) mg/L, </w:t>
      </w:r>
      <w:r>
        <w:rPr>
          <w:rFonts w:ascii="Times New Roman" w:hAnsi="Times New Roman" w:cs="Times New Roman"/>
          <w:i/>
          <w:iCs/>
          <w:color w:val="auto"/>
          <w:sz w:val="21"/>
        </w:rPr>
        <w:t>U</w:t>
      </w:r>
      <w:r>
        <w:rPr>
          <w:rFonts w:ascii="Times New Roman" w:hAnsi="Times New Roman" w:cs="Times New Roman"/>
          <w:color w:val="auto"/>
          <w:sz w:val="21"/>
        </w:rPr>
        <w:t>=</w:t>
      </w:r>
      <w:r>
        <w:rPr>
          <w:rFonts w:hint="eastAsia" w:ascii="Times New Roman" w:hAnsi="Times New Roman" w:cs="Times New Roman"/>
          <w:color w:val="auto"/>
          <w:sz w:val="21"/>
          <w:lang w:val="en-US" w:eastAsia="zh-CN"/>
        </w:rPr>
        <w:t>4.778</w:t>
      </w:r>
      <w:r>
        <w:rPr>
          <w:rFonts w:ascii="Times New Roman" w:hAnsi="Times New Roman" w:cs="Times New Roman"/>
          <w:color w:val="auto"/>
          <w:sz w:val="21"/>
        </w:rPr>
        <w:t xml:space="preserve">, </w:t>
      </w:r>
      <w:r>
        <w:rPr>
          <w:rFonts w:ascii="Times New Roman" w:hAnsi="Times New Roman" w:cs="Times New Roman"/>
          <w:i/>
          <w:iCs/>
          <w:color w:val="auto"/>
          <w:sz w:val="21"/>
        </w:rPr>
        <w:t>P</w:t>
      </w:r>
      <w:r>
        <w:rPr>
          <w:rFonts w:ascii="Times New Roman" w:hAnsi="Times New Roman" w:cs="Times New Roman"/>
          <w:color w:val="auto"/>
          <w:sz w:val="21"/>
        </w:rPr>
        <w:t xml:space="preserve">&lt;0.001], and FIB [(3.96±0.53) g/L </w:t>
      </w:r>
      <w:r>
        <w:rPr>
          <w:rFonts w:ascii="Times New Roman" w:hAnsi="Times New Roman" w:cs="Times New Roman"/>
          <w:i/>
          <w:color w:val="auto"/>
          <w:sz w:val="21"/>
        </w:rPr>
        <w:t>vs</w:t>
      </w:r>
      <w:r>
        <w:rPr>
          <w:rFonts w:ascii="Times New Roman" w:hAnsi="Times New Roman" w:cs="Times New Roman"/>
          <w:color w:val="auto"/>
          <w:sz w:val="21"/>
        </w:rPr>
        <w:t xml:space="preserve"> (2.66±0.40) g/L, </w:t>
      </w:r>
      <w:r>
        <w:rPr>
          <w:rFonts w:ascii="Times New Roman" w:hAnsi="Times New Roman" w:cs="Times New Roman"/>
          <w:i/>
          <w:iCs/>
          <w:color w:val="auto"/>
          <w:sz w:val="21"/>
        </w:rPr>
        <w:t>t</w:t>
      </w:r>
      <w:r>
        <w:rPr>
          <w:rFonts w:ascii="Times New Roman" w:hAnsi="Times New Roman" w:cs="Times New Roman"/>
          <w:color w:val="auto"/>
          <w:sz w:val="21"/>
        </w:rPr>
        <w:t>=</w:t>
      </w:r>
      <w:r>
        <w:rPr>
          <w:rFonts w:hint="eastAsia" w:ascii="Times New Roman" w:hAnsi="Times New Roman" w:eastAsia="宋体" w:cs="Times New Roman"/>
          <w:color w:val="auto"/>
          <w:sz w:val="21"/>
          <w:lang w:val="en-US" w:eastAsia="zh-CN"/>
        </w:rPr>
        <w:t>22.663</w:t>
      </w:r>
      <w:r>
        <w:rPr>
          <w:rFonts w:ascii="Times New Roman" w:hAnsi="Times New Roman" w:cs="Times New Roman"/>
          <w:color w:val="auto"/>
          <w:sz w:val="21"/>
        </w:rPr>
        <w:t xml:space="preserve">, </w:t>
      </w:r>
      <w:r>
        <w:rPr>
          <w:rFonts w:ascii="Times New Roman" w:hAnsi="Times New Roman" w:cs="Times New Roman"/>
          <w:i/>
          <w:iCs/>
          <w:color w:val="auto"/>
          <w:sz w:val="21"/>
        </w:rPr>
        <w:t>P</w:t>
      </w:r>
      <w:r>
        <w:rPr>
          <w:rFonts w:ascii="Times New Roman" w:hAnsi="Times New Roman" w:cs="Times New Roman"/>
          <w:color w:val="auto"/>
          <w:sz w:val="21"/>
        </w:rPr>
        <w:t>&lt;0.001], as well as significantly prolonged PT [(</w:t>
      </w:r>
      <w:r>
        <w:rPr>
          <w:rFonts w:ascii="Times New Roman" w:hAnsi="Times New Roman" w:eastAsia="宋体" w:cs="Times New Roman"/>
          <w:color w:val="auto"/>
          <w:sz w:val="21"/>
        </w:rPr>
        <w:t>15.</w:t>
      </w:r>
      <w:r>
        <w:rPr>
          <w:rFonts w:hint="eastAsia" w:ascii="Times New Roman" w:hAnsi="Times New Roman" w:eastAsia="宋体" w:cs="Times New Roman"/>
          <w:color w:val="auto"/>
          <w:sz w:val="21"/>
          <w:lang w:val="en-US" w:eastAsia="zh-CN"/>
        </w:rPr>
        <w:t>66</w:t>
      </w:r>
      <w:r>
        <w:rPr>
          <w:rFonts w:ascii="Times New Roman" w:hAnsi="Times New Roman" w:eastAsia="宋体" w:cs="Times New Roman"/>
          <w:color w:val="auto"/>
          <w:sz w:val="21"/>
        </w:rPr>
        <w:t>±3.44</w:t>
      </w:r>
      <w:r>
        <w:rPr>
          <w:rFonts w:ascii="Times New Roman" w:hAnsi="Times New Roman" w:cs="Times New Roman"/>
          <w:color w:val="auto"/>
          <w:sz w:val="21"/>
        </w:rPr>
        <w:t xml:space="preserve">) s </w:t>
      </w:r>
      <w:r>
        <w:rPr>
          <w:rFonts w:ascii="Times New Roman" w:hAnsi="Times New Roman" w:cs="Times New Roman"/>
          <w:i/>
          <w:color w:val="auto"/>
          <w:sz w:val="21"/>
        </w:rPr>
        <w:t>vs</w:t>
      </w:r>
      <w:r>
        <w:rPr>
          <w:rFonts w:ascii="Times New Roman" w:hAnsi="Times New Roman" w:cs="Times New Roman"/>
          <w:color w:val="auto"/>
          <w:sz w:val="21"/>
        </w:rPr>
        <w:t xml:space="preserve"> (</w:t>
      </w:r>
      <w:r>
        <w:rPr>
          <w:rFonts w:ascii="Times New Roman" w:hAnsi="Times New Roman" w:eastAsia="宋体" w:cs="Times New Roman"/>
          <w:color w:val="auto"/>
          <w:sz w:val="21"/>
        </w:rPr>
        <w:t>12.00±</w:t>
      </w:r>
      <w:r>
        <w:rPr>
          <w:rFonts w:hint="eastAsia" w:ascii="Times New Roman" w:hAnsi="Times New Roman" w:eastAsia="宋体" w:cs="Times New Roman"/>
          <w:color w:val="auto"/>
          <w:sz w:val="21"/>
          <w:lang w:eastAsia="zh-CN"/>
        </w:rPr>
        <w:t>1</w:t>
      </w:r>
      <w:r>
        <w:rPr>
          <w:rFonts w:ascii="Times New Roman" w:hAnsi="Times New Roman" w:eastAsia="宋体" w:cs="Times New Roman"/>
          <w:color w:val="auto"/>
          <w:sz w:val="21"/>
        </w:rPr>
        <w:t>.97</w:t>
      </w:r>
      <w:r>
        <w:rPr>
          <w:rFonts w:ascii="Times New Roman" w:hAnsi="Times New Roman" w:cs="Times New Roman"/>
          <w:color w:val="auto"/>
          <w:sz w:val="21"/>
        </w:rPr>
        <w:t xml:space="preserve">) s, </w:t>
      </w:r>
      <w:r>
        <w:rPr>
          <w:rFonts w:ascii="Times New Roman" w:hAnsi="Times New Roman" w:cs="Times New Roman"/>
          <w:i/>
          <w:iCs/>
          <w:color w:val="auto"/>
          <w:sz w:val="21"/>
        </w:rPr>
        <w:t>t</w:t>
      </w:r>
      <w:r>
        <w:rPr>
          <w:rFonts w:ascii="Times New Roman" w:hAnsi="Times New Roman" w:cs="Times New Roman"/>
          <w:color w:val="auto"/>
          <w:sz w:val="21"/>
        </w:rPr>
        <w:t>=</w:t>
      </w:r>
      <w:r>
        <w:rPr>
          <w:rFonts w:hint="eastAsia" w:ascii="Times New Roman" w:hAnsi="Times New Roman" w:eastAsia="宋体" w:cs="Times New Roman"/>
          <w:color w:val="auto"/>
          <w:sz w:val="21"/>
          <w:lang w:val="en-US" w:eastAsia="zh-CN"/>
        </w:rPr>
        <w:t>10.688</w:t>
      </w:r>
      <w:r>
        <w:rPr>
          <w:rFonts w:ascii="Times New Roman" w:hAnsi="Times New Roman" w:cs="Times New Roman"/>
          <w:color w:val="auto"/>
          <w:sz w:val="21"/>
        </w:rPr>
        <w:t xml:space="preserve">, </w:t>
      </w:r>
      <w:r>
        <w:rPr>
          <w:rFonts w:ascii="Times New Roman" w:hAnsi="Times New Roman" w:cs="Times New Roman"/>
          <w:i/>
          <w:iCs/>
          <w:color w:val="auto"/>
          <w:sz w:val="21"/>
        </w:rPr>
        <w:t>P</w:t>
      </w:r>
      <w:r>
        <w:rPr>
          <w:rFonts w:ascii="Times New Roman" w:hAnsi="Times New Roman" w:cs="Times New Roman"/>
          <w:color w:val="auto"/>
          <w:sz w:val="21"/>
        </w:rPr>
        <w:t xml:space="preserve">&lt;0.001], TT [24.80 (22.95, 26.33) s </w:t>
      </w:r>
      <w:r>
        <w:rPr>
          <w:rFonts w:ascii="Times New Roman" w:hAnsi="Times New Roman" w:cs="Times New Roman"/>
          <w:i/>
          <w:color w:val="auto"/>
          <w:sz w:val="21"/>
        </w:rPr>
        <w:t>vs</w:t>
      </w:r>
      <w:r>
        <w:rPr>
          <w:rFonts w:ascii="Times New Roman" w:hAnsi="Times New Roman" w:cs="Times New Roman"/>
          <w:color w:val="auto"/>
          <w:sz w:val="21"/>
        </w:rPr>
        <w:t xml:space="preserve"> 16.98 (15.16, 18.73) s, </w:t>
      </w:r>
      <w:r>
        <w:rPr>
          <w:rFonts w:ascii="Times New Roman" w:hAnsi="Times New Roman" w:cs="Times New Roman"/>
          <w:i/>
          <w:iCs/>
          <w:color w:val="auto"/>
          <w:sz w:val="21"/>
        </w:rPr>
        <w:t>U</w:t>
      </w:r>
      <w:r>
        <w:rPr>
          <w:rFonts w:ascii="Times New Roman" w:hAnsi="Times New Roman" w:cs="Times New Roman"/>
          <w:color w:val="auto"/>
          <w:sz w:val="21"/>
        </w:rPr>
        <w:t>=</w:t>
      </w:r>
      <w:r>
        <w:rPr>
          <w:rFonts w:hint="eastAsia" w:ascii="Times New Roman" w:hAnsi="Times New Roman" w:cs="Times New Roman"/>
          <w:color w:val="auto"/>
          <w:sz w:val="21"/>
          <w:lang w:val="en-US" w:eastAsia="zh-CN"/>
        </w:rPr>
        <w:t>4.412</w:t>
      </w:r>
      <w:r>
        <w:rPr>
          <w:rFonts w:ascii="Times New Roman" w:hAnsi="Times New Roman" w:cs="Times New Roman"/>
          <w:color w:val="auto"/>
          <w:sz w:val="21"/>
        </w:rPr>
        <w:t xml:space="preserve">, </w:t>
      </w:r>
      <w:r>
        <w:rPr>
          <w:rFonts w:ascii="Times New Roman" w:hAnsi="Times New Roman" w:cs="Times New Roman"/>
          <w:i/>
          <w:iCs/>
          <w:color w:val="auto"/>
          <w:sz w:val="21"/>
        </w:rPr>
        <w:t>P</w:t>
      </w:r>
      <w:r>
        <w:rPr>
          <w:rFonts w:ascii="Times New Roman" w:hAnsi="Times New Roman" w:cs="Times New Roman"/>
          <w:color w:val="auto"/>
          <w:sz w:val="21"/>
        </w:rPr>
        <w:t>&lt;0.001</w:t>
      </w:r>
      <w:r>
        <w:rPr>
          <w:rFonts w:ascii="Times New Roman" w:hAnsi="Times New Roman" w:cs="Times New Roman"/>
          <w:color w:val="auto"/>
          <w:sz w:val="21"/>
        </w:rPr>
        <w:t>], and APTT [(</w:t>
      </w:r>
      <w:r>
        <w:rPr>
          <w:rFonts w:ascii="Times New Roman" w:hAnsi="Times New Roman" w:eastAsia="宋体" w:cs="Times New Roman"/>
          <w:color w:val="auto"/>
          <w:sz w:val="21"/>
          <w:highlight w:val="none"/>
        </w:rPr>
        <w:t>35.</w:t>
      </w:r>
      <w:r>
        <w:rPr>
          <w:rFonts w:hint="eastAsia" w:ascii="Times New Roman" w:hAnsi="Times New Roman" w:eastAsia="宋体" w:cs="Times New Roman"/>
          <w:color w:val="auto"/>
          <w:sz w:val="21"/>
          <w:highlight w:val="none"/>
          <w:lang w:eastAsia="zh-CN"/>
        </w:rPr>
        <w:t>4</w:t>
      </w:r>
      <w:r>
        <w:rPr>
          <w:rFonts w:hint="eastAsia" w:ascii="Times New Roman" w:hAnsi="Times New Roman" w:eastAsia="宋体" w:cs="Times New Roman"/>
          <w:color w:val="auto"/>
          <w:sz w:val="21"/>
          <w:highlight w:val="none"/>
          <w:lang w:val="en-US" w:eastAsia="zh-CN"/>
        </w:rPr>
        <w:t>5</w:t>
      </w:r>
      <w:r>
        <w:rPr>
          <w:rFonts w:ascii="Times New Roman" w:hAnsi="Times New Roman" w:eastAsia="宋体" w:cs="Times New Roman"/>
          <w:color w:val="auto"/>
          <w:sz w:val="21"/>
          <w:highlight w:val="none"/>
        </w:rPr>
        <w:t>±5.49</w:t>
      </w:r>
      <w:r>
        <w:rPr>
          <w:rFonts w:ascii="Times New Roman" w:hAnsi="Times New Roman" w:cs="Times New Roman"/>
          <w:color w:val="auto"/>
          <w:sz w:val="21"/>
        </w:rPr>
        <w:t xml:space="preserve">) s </w:t>
      </w:r>
      <w:r>
        <w:rPr>
          <w:rFonts w:ascii="Times New Roman" w:hAnsi="Times New Roman" w:cs="Times New Roman"/>
          <w:i/>
          <w:color w:val="auto"/>
          <w:sz w:val="21"/>
        </w:rPr>
        <w:t>vs</w:t>
      </w:r>
      <w:r>
        <w:rPr>
          <w:rFonts w:ascii="Times New Roman" w:hAnsi="Times New Roman" w:cs="Times New Roman"/>
          <w:color w:val="auto"/>
          <w:sz w:val="21"/>
        </w:rPr>
        <w:t xml:space="preserve"> (27.99±2.91) s, </w:t>
      </w:r>
      <w:r>
        <w:rPr>
          <w:rFonts w:ascii="Times New Roman" w:hAnsi="Times New Roman" w:cs="Times New Roman"/>
          <w:i/>
          <w:iCs/>
          <w:color w:val="auto"/>
          <w:sz w:val="21"/>
        </w:rPr>
        <w:t>t</w:t>
      </w:r>
      <w:r>
        <w:rPr>
          <w:rFonts w:ascii="Times New Roman" w:hAnsi="Times New Roman" w:cs="Times New Roman"/>
          <w:iCs/>
          <w:color w:val="auto"/>
          <w:sz w:val="21"/>
        </w:rPr>
        <w:t>=</w:t>
      </w:r>
      <w:r>
        <w:rPr>
          <w:rFonts w:hint="eastAsia" w:ascii="Times New Roman" w:hAnsi="Times New Roman" w:eastAsia="宋体" w:cs="Times New Roman"/>
          <w:color w:val="auto"/>
          <w:sz w:val="21"/>
          <w:highlight w:val="none"/>
          <w:lang w:val="en-US" w:eastAsia="zh-CN"/>
        </w:rPr>
        <w:t>13.898</w:t>
      </w:r>
      <w:r>
        <w:rPr>
          <w:rFonts w:ascii="Times New Roman" w:hAnsi="Times New Roman" w:cs="Times New Roman"/>
          <w:color w:val="auto"/>
          <w:sz w:val="21"/>
        </w:rPr>
        <w:t xml:space="preserve">, </w:t>
      </w:r>
      <w:r>
        <w:rPr>
          <w:rFonts w:ascii="Times New Roman" w:hAnsi="Times New Roman" w:cs="Times New Roman"/>
          <w:i/>
          <w:iCs/>
          <w:color w:val="auto"/>
          <w:sz w:val="21"/>
        </w:rPr>
        <w:t>P</w:t>
      </w:r>
      <w:r>
        <w:rPr>
          <w:rFonts w:ascii="Times New Roman" w:hAnsi="Times New Roman" w:cs="Times New Roman"/>
          <w:color w:val="auto"/>
          <w:sz w:val="21"/>
        </w:rPr>
        <w:t xml:space="preserve">&lt;0.001]. All differences were statistically significant. Serum levels of VE-cadherin, S1P, D-D, and FIB progressively increased, while PT, TT, and APTT progressively prolonged across the mild, moderate, moderate-to-severe, and severe deficit groups (all </w:t>
      </w:r>
      <w:r>
        <w:rPr>
          <w:rFonts w:ascii="Times New Roman" w:hAnsi="Times New Roman" w:cs="Times New Roman"/>
          <w:i/>
          <w:iCs/>
          <w:color w:val="auto"/>
          <w:sz w:val="21"/>
        </w:rPr>
        <w:t>P</w:t>
      </w:r>
      <w:r>
        <w:rPr>
          <w:rFonts w:ascii="Times New Roman" w:hAnsi="Times New Roman" w:cs="Times New Roman"/>
          <w:color w:val="auto"/>
          <w:sz w:val="21"/>
        </w:rPr>
        <w:t xml:space="preserve">&lt;0.05). Serum VE-cadherin and S1P levels in HICH patients were positively correlated with disease severity, D-D, FIB, PT, TT, and APTT (all </w:t>
      </w:r>
      <w:r>
        <w:rPr>
          <w:rFonts w:ascii="Times New Roman" w:hAnsi="Times New Roman" w:cs="Times New Roman"/>
          <w:i/>
          <w:iCs/>
          <w:color w:val="auto"/>
          <w:sz w:val="21"/>
        </w:rPr>
        <w:t>P</w:t>
      </w:r>
      <w:r>
        <w:rPr>
          <w:rFonts w:ascii="Times New Roman" w:hAnsi="Times New Roman" w:cs="Times New Roman"/>
          <w:color w:val="auto"/>
          <w:sz w:val="21"/>
        </w:rPr>
        <w:t xml:space="preserve">&lt;0.001). Multivariate logistic regression analysis showed that increased hematoma volume, higher NIHSS score at admission, elevated VE-cadherin, and elevated S1P were independent risk factors for poor short-term prognosis in HICH patients (all </w:t>
      </w:r>
      <w:r>
        <w:rPr>
          <w:rFonts w:ascii="Times New Roman" w:hAnsi="Times New Roman" w:cs="Times New Roman"/>
          <w:i/>
          <w:iCs/>
          <w:color w:val="auto"/>
          <w:sz w:val="21"/>
        </w:rPr>
        <w:t>P</w:t>
      </w:r>
      <w:r>
        <w:rPr>
          <w:rFonts w:ascii="Times New Roman" w:hAnsi="Times New Roman" w:cs="Times New Roman"/>
          <w:color w:val="auto"/>
          <w:sz w:val="21"/>
        </w:rPr>
        <w:t>&lt;0.05), while higher Glasgow Coma Scale (GCS) score at admission was an independent protective factor (</w:t>
      </w:r>
      <w:r>
        <w:rPr>
          <w:rFonts w:ascii="Times New Roman" w:hAnsi="Times New Roman" w:cs="Times New Roman"/>
          <w:i/>
          <w:iCs/>
          <w:color w:val="auto"/>
          <w:sz w:val="21"/>
        </w:rPr>
        <w:t>P</w:t>
      </w:r>
      <w:r>
        <w:rPr>
          <w:rFonts w:ascii="Times New Roman" w:hAnsi="Times New Roman" w:cs="Times New Roman"/>
          <w:color w:val="auto"/>
          <w:sz w:val="21"/>
        </w:rPr>
        <w:t>&lt;0.05). The areas under the ROC curve for serum VE-cadherin, S1P levels, and their combination in predicting short-term prognosis in HICH patients were 0.832, 0.820, and 0.908, with sensitivities of 0.557, 0.656, and 0.853, and specificities of 0.959, 0.849, and 0.808, respectively. The combined predictive efficacy was significantly better than that of serum VE-cadherin or S1P levels alone (</w:t>
      </w:r>
      <w:r>
        <w:rPr>
          <w:rFonts w:ascii="Times New Roman" w:hAnsi="Times New Roman" w:cs="Times New Roman"/>
          <w:i/>
          <w:iCs/>
          <w:color w:val="auto"/>
          <w:sz w:val="21"/>
        </w:rPr>
        <w:t>Z</w:t>
      </w:r>
      <w:r>
        <w:rPr>
          <w:rFonts w:ascii="Times New Roman" w:hAnsi="Times New Roman" w:cs="Times New Roman"/>
          <w:color w:val="auto"/>
          <w:sz w:val="21"/>
        </w:rPr>
        <w:t xml:space="preserve">=2.921, 3.107, </w:t>
      </w:r>
      <w:r>
        <w:rPr>
          <w:rFonts w:ascii="Times New Roman" w:hAnsi="Times New Roman" w:cs="Times New Roman"/>
          <w:i/>
          <w:iCs/>
          <w:color w:val="auto"/>
          <w:sz w:val="21"/>
        </w:rPr>
        <w:t>P</w:t>
      </w:r>
      <w:r>
        <w:rPr>
          <w:rFonts w:ascii="Times New Roman" w:hAnsi="Times New Roman" w:cs="Times New Roman"/>
          <w:color w:val="auto"/>
          <w:sz w:val="21"/>
        </w:rPr>
        <w:t xml:space="preserve">=0.004, 0.002). </w:t>
      </w:r>
      <w:r>
        <w:rPr>
          <w:rFonts w:ascii="Times New Roman" w:hAnsi="Times New Roman" w:cs="Times New Roman"/>
          <w:b/>
          <w:bCs/>
          <w:color w:val="auto"/>
          <w:sz w:val="21"/>
        </w:rPr>
        <w:t>Conclusion</w:t>
      </w:r>
      <w:r>
        <w:rPr>
          <w:rFonts w:ascii="Times New Roman" w:hAnsi="Times New Roman" w:cs="Times New Roman"/>
          <w:color w:val="auto"/>
          <w:sz w:val="21"/>
        </w:rPr>
        <w:t xml:space="preserve">  Serum levels of VE-cadherin and S1P are elevated in HICH patients and are associated with disease severity, coagulation dysfunction, and poor short-term prognosis. The combination of serum VE-cadherin and S1P levels has high predictive value for short-term prognosis.</w:t>
      </w:r>
    </w:p>
    <w:p w14:paraId="3FD1DE70">
      <w:pPr>
        <w:pStyle w:val="37"/>
        <w:spacing w:after="0" w:line="360" w:lineRule="auto"/>
        <w:ind w:firstLine="422" w:firstLineChars="200"/>
        <w:rPr>
          <w:rFonts w:ascii="Times New Roman" w:hAnsi="Times New Roman" w:cs="Times New Roman"/>
          <w:color w:val="auto"/>
          <w:sz w:val="21"/>
          <w:szCs w:val="21"/>
        </w:rPr>
      </w:pPr>
      <w:r>
        <w:rPr>
          <w:rFonts w:ascii="Times New Roman" w:hAnsi="Times New Roman" w:cs="Times New Roman"/>
          <w:b/>
          <w:color w:val="auto"/>
          <w:sz w:val="21"/>
        </w:rPr>
        <w:t>【Key words】</w:t>
      </w:r>
      <w:r>
        <w:rPr>
          <w:rFonts w:ascii="Times New Roman" w:hAnsi="Times New Roman" w:cs="Times New Roman"/>
          <w:color w:val="auto"/>
          <w:sz w:val="21"/>
        </w:rPr>
        <w:t xml:space="preserve"> Hypertensive intracerebral hemorrhage; Vascular endothelial cadherin; Sphingosine-1-phosphate; Coagulation function; Short-term prognosis</w:t>
      </w:r>
    </w:p>
    <w:p w14:paraId="42858FC3">
      <w:pPr>
        <w:pStyle w:val="29"/>
        <w:spacing w:line="360" w:lineRule="auto"/>
        <w:ind w:firstLine="420"/>
        <w:rPr>
          <w:rFonts w:ascii="Times New Roman" w:hAnsi="Times New Roman" w:cs="Times New Roman"/>
          <w:color w:val="auto"/>
        </w:rPr>
      </w:pPr>
    </w:p>
    <w:p w14:paraId="135C2246">
      <w:pPr>
        <w:pStyle w:val="29"/>
        <w:spacing w:line="360" w:lineRule="auto"/>
        <w:ind w:firstLine="420"/>
        <w:rPr>
          <w:rFonts w:ascii="Times New Roman" w:hAnsi="Times New Roman" w:cs="Times New Roman"/>
          <w:color w:val="auto"/>
        </w:rPr>
      </w:pPr>
      <w:r>
        <w:rPr>
          <w:rFonts w:ascii="Times New Roman" w:hAnsi="Times New Roman" w:cs="Times New Roman"/>
          <w:color w:val="auto"/>
        </w:rPr>
        <w:t>脑出血是最严重的卒中类型。高血压脑出血（hypertensive cerebral hemorrhage，HICH）是指高血压患者突然自发的脑实质出血。近年来，随着我国高血压发病率的持续增高，HICH发病率也逐年攀升，急性期病死率可达30%，且75%幸存者遗留永久性残疾</w:t>
      </w:r>
      <w:r>
        <w:rPr>
          <w:rFonts w:ascii="Times New Roman" w:hAnsi="Times New Roman" w:cs="Times New Roman"/>
          <w:color w:val="auto"/>
          <w:vertAlign w:val="superscript"/>
        </w:rPr>
        <w:t>[1-3]</w:t>
      </w:r>
      <w:r>
        <w:rPr>
          <w:rFonts w:ascii="Times New Roman" w:hAnsi="Times New Roman" w:cs="Times New Roman"/>
          <w:color w:val="auto"/>
        </w:rPr>
        <w:t>。因此，及时预测HICH患者预后尤为重要。然而，传统预后评估主要依赖临床评分或影像学指标，缺乏敏感、可量化的血清生物标志物来早期预测短期预后。</w:t>
      </w:r>
    </w:p>
    <w:p w14:paraId="714F393D">
      <w:pPr>
        <w:pStyle w:val="29"/>
        <w:spacing w:line="360" w:lineRule="auto"/>
        <w:ind w:firstLine="420"/>
        <w:rPr>
          <w:rFonts w:ascii="Times New Roman" w:hAnsi="Times New Roman" w:cs="Times New Roman"/>
          <w:color w:val="auto"/>
        </w:rPr>
      </w:pPr>
      <w:r>
        <w:rPr>
          <w:rFonts w:ascii="Times New Roman" w:hAnsi="Times New Roman" w:cs="Times New Roman"/>
          <w:color w:val="auto"/>
        </w:rPr>
        <w:t>血脑屏障（blood-brain barrier，BBB）损伤、神经炎症等在脑出血过程中发挥重要作用</w:t>
      </w:r>
      <w:r>
        <w:rPr>
          <w:rFonts w:ascii="Times New Roman" w:hAnsi="Times New Roman" w:cs="Times New Roman"/>
          <w:color w:val="auto"/>
          <w:vertAlign w:val="superscript"/>
        </w:rPr>
        <w:t>[4]</w:t>
      </w:r>
      <w:r>
        <w:rPr>
          <w:rFonts w:ascii="Times New Roman" w:hAnsi="Times New Roman" w:cs="Times New Roman"/>
          <w:color w:val="auto"/>
        </w:rPr>
        <w:t>。研究表明，凝血功能紊乱是导致脑出血患者预后恶化的重要因素</w:t>
      </w:r>
      <w:r>
        <w:rPr>
          <w:rFonts w:ascii="Times New Roman" w:hAnsi="Times New Roman" w:cs="Times New Roman"/>
          <w:color w:val="auto"/>
          <w:vertAlign w:val="superscript"/>
        </w:rPr>
        <w:t>[5]</w:t>
      </w:r>
      <w:r>
        <w:rPr>
          <w:rFonts w:ascii="Times New Roman" w:hAnsi="Times New Roman" w:cs="Times New Roman"/>
          <w:color w:val="auto"/>
        </w:rPr>
        <w:t>。血管内皮钙黏蛋白（vascular endothelial cadherin，VE-cadherin）是一种黏附分子，能够通过维持内皮间黏附来保护BBB功能和改善凝血功能</w:t>
      </w:r>
      <w:r>
        <w:rPr>
          <w:rFonts w:ascii="Times New Roman" w:hAnsi="Times New Roman" w:cs="Times New Roman"/>
          <w:color w:val="auto"/>
          <w:vertAlign w:val="superscript"/>
        </w:rPr>
        <w:t>[6]</w:t>
      </w:r>
      <w:r>
        <w:rPr>
          <w:rFonts w:ascii="Times New Roman" w:hAnsi="Times New Roman" w:cs="Times New Roman"/>
          <w:color w:val="auto"/>
        </w:rPr>
        <w:t>。Takase等</w:t>
      </w:r>
      <w:r>
        <w:rPr>
          <w:rFonts w:ascii="Times New Roman" w:hAnsi="Times New Roman" w:cs="Times New Roman"/>
          <w:color w:val="auto"/>
          <w:vertAlign w:val="superscript"/>
        </w:rPr>
        <w:t>[7]</w:t>
      </w:r>
      <w:r>
        <w:rPr>
          <w:rFonts w:ascii="Times New Roman" w:hAnsi="Times New Roman" w:cs="Times New Roman"/>
          <w:color w:val="auto"/>
        </w:rPr>
        <w:t>研究报道，脑脊液中VE-cadherin水平升高与蛛网膜下腔出血患者病情加重及预后较差有关。1-磷酸鞘氨酸（sphingosine-1-phosphate，S1P）是一种脂质代谢产物，具有调节凝血功能和维持BBB、抑制神经炎症等作用</w:t>
      </w:r>
      <w:r>
        <w:rPr>
          <w:rFonts w:ascii="Times New Roman" w:hAnsi="Times New Roman" w:cs="Times New Roman"/>
          <w:color w:val="auto"/>
          <w:vertAlign w:val="superscript"/>
        </w:rPr>
        <w:t>[8]</w:t>
      </w:r>
      <w:r>
        <w:rPr>
          <w:rFonts w:ascii="Times New Roman" w:hAnsi="Times New Roman" w:cs="Times New Roman"/>
          <w:color w:val="auto"/>
        </w:rPr>
        <w:t>。Männer等</w:t>
      </w:r>
      <w:r>
        <w:rPr>
          <w:rFonts w:ascii="Times New Roman" w:hAnsi="Times New Roman" w:cs="Times New Roman"/>
          <w:color w:val="auto"/>
          <w:vertAlign w:val="superscript"/>
        </w:rPr>
        <w:t>[9]</w:t>
      </w:r>
      <w:r>
        <w:rPr>
          <w:rFonts w:ascii="Times New Roman" w:hAnsi="Times New Roman" w:cs="Times New Roman"/>
          <w:color w:val="auto"/>
        </w:rPr>
        <w:t>研究报道，蛛网膜下腔出血患者脑脊液中S1P水平升高与神经系统结局不良有关。然而，既往研究多集中于脑脊液中VE-cadherin、S1P的水平变化，而脑脊液的获取具有创伤性强、技术要求高等缺点，难以广泛应用于HICH早期快速评估。相比之下，血清样本采集方便、安全性高，且具有良好的重复检测和动态监测优势。因此，本研究旨在探讨HICH患者血清VE-cadherin、S1P水平与凝血功能及短期预后的关系，以期为改善HICH患者预后提供更多的依据。</w:t>
      </w:r>
    </w:p>
    <w:p w14:paraId="0753CF1A">
      <w:pPr>
        <w:pStyle w:val="38"/>
        <w:spacing w:before="0" w:after="0" w:line="360" w:lineRule="auto"/>
        <w:jc w:val="center"/>
        <w:rPr>
          <w:rFonts w:ascii="Times New Roman" w:hAnsi="Times New Roman" w:eastAsia="宋体" w:cs="Times New Roman"/>
          <w:color w:val="auto"/>
          <w:sz w:val="21"/>
        </w:rPr>
      </w:pPr>
      <w:r>
        <w:rPr>
          <w:rFonts w:ascii="Times New Roman" w:hAnsi="Times New Roman" w:eastAsia="宋体" w:cs="Times New Roman"/>
          <w:color w:val="auto"/>
          <w:sz w:val="21"/>
        </w:rPr>
        <w:t>资料与方法</w:t>
      </w:r>
    </w:p>
    <w:p w14:paraId="20713FFB">
      <w:pPr>
        <w:pStyle w:val="29"/>
        <w:spacing w:line="360" w:lineRule="auto"/>
        <w:ind w:firstLine="420"/>
        <w:rPr>
          <w:rFonts w:ascii="Times New Roman" w:hAnsi="Times New Roman" w:cs="Times New Roman"/>
          <w:color w:val="auto"/>
        </w:rPr>
      </w:pPr>
      <w:r>
        <w:rPr>
          <w:rFonts w:ascii="Times New Roman" w:hAnsi="Times New Roman" w:cs="Times New Roman"/>
          <w:color w:val="auto"/>
        </w:rPr>
        <w:t>一、对象</w:t>
      </w:r>
    </w:p>
    <w:p w14:paraId="1F7480C3">
      <w:pPr>
        <w:pStyle w:val="29"/>
        <w:spacing w:line="360" w:lineRule="auto"/>
        <w:ind w:firstLine="420"/>
        <w:rPr>
          <w:rFonts w:ascii="Times New Roman" w:hAnsi="Times New Roman" w:cs="Times New Roman"/>
          <w:color w:val="auto"/>
        </w:rPr>
      </w:pPr>
      <w:r>
        <w:rPr>
          <w:rFonts w:ascii="Times New Roman" w:hAnsi="Times New Roman" w:cs="Times New Roman"/>
          <w:color w:val="auto"/>
        </w:rPr>
        <w:t>前瞻性纳入2022年1月至2024年9月</w:t>
      </w:r>
      <w:r>
        <w:rPr>
          <w:rFonts w:ascii="Times New Roman" w:hAnsi="Times New Roman" w:cs="Times New Roman"/>
          <w:color w:val="auto"/>
          <w:szCs w:val="18"/>
        </w:rPr>
        <w:t>邯郸市中心医院神经外科</w:t>
      </w:r>
      <w:r>
        <w:rPr>
          <w:rFonts w:ascii="Times New Roman" w:hAnsi="Times New Roman" w:cs="Times New Roman"/>
          <w:color w:val="auto"/>
        </w:rPr>
        <w:t>收治的HICH患者134例（试验组）和同期健康体检志愿者134例（对照组）为研究对象。本研究经</w:t>
      </w:r>
      <w:r>
        <w:rPr>
          <w:rFonts w:ascii="Times New Roman" w:hAnsi="Times New Roman" w:cs="Times New Roman"/>
          <w:color w:val="auto"/>
          <w:szCs w:val="18"/>
        </w:rPr>
        <w:t>邯郸市中心医院</w:t>
      </w:r>
      <w:r>
        <w:rPr>
          <w:rFonts w:ascii="Times New Roman" w:hAnsi="Times New Roman" w:cs="Times New Roman"/>
          <w:color w:val="auto"/>
        </w:rPr>
        <w:t>伦理委员会批准（审批号：HDSZXYX-YXLL-2022-01-07）。所有患者或家属均签署知情同意书。</w:t>
      </w:r>
    </w:p>
    <w:p w14:paraId="155B5715">
      <w:pPr>
        <w:pStyle w:val="29"/>
        <w:spacing w:line="360" w:lineRule="auto"/>
        <w:ind w:firstLine="420"/>
        <w:rPr>
          <w:rFonts w:ascii="Times New Roman" w:hAnsi="Times New Roman" w:cs="Times New Roman"/>
          <w:color w:val="auto"/>
        </w:rPr>
      </w:pPr>
      <w:r>
        <w:rPr>
          <w:rFonts w:ascii="Times New Roman" w:hAnsi="Times New Roman" w:cs="Times New Roman"/>
          <w:color w:val="auto"/>
        </w:rPr>
        <w:t>纳入标准：（1）符合《高血压性脑出血中国多学科诊治指南》</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0</w:t>
      </w:r>
      <w:r>
        <w:rPr>
          <w:rFonts w:ascii="Times New Roman" w:hAnsi="Times New Roman" w:cs="Times New Roman"/>
          <w:color w:val="auto"/>
          <w:vertAlign w:val="superscript"/>
        </w:rPr>
        <w:t>]</w:t>
      </w:r>
      <w:r>
        <w:rPr>
          <w:rFonts w:ascii="Times New Roman" w:hAnsi="Times New Roman" w:cs="Times New Roman"/>
          <w:color w:val="auto"/>
        </w:rPr>
        <w:t>中关于HICH的诊断标准；（2）首次卒中；（3）年龄≥18岁；（4）发病至入院时间≤12 h；（5）接受手术治疗。</w:t>
      </w:r>
    </w:p>
    <w:p w14:paraId="2BAA0266">
      <w:pPr>
        <w:pStyle w:val="29"/>
        <w:spacing w:line="360" w:lineRule="auto"/>
        <w:ind w:firstLine="420"/>
        <w:rPr>
          <w:rFonts w:ascii="Times New Roman" w:hAnsi="Times New Roman" w:cs="Times New Roman"/>
          <w:color w:val="auto"/>
        </w:rPr>
      </w:pPr>
      <w:r>
        <w:rPr>
          <w:rFonts w:ascii="Times New Roman" w:hAnsi="Times New Roman" w:cs="Times New Roman"/>
          <w:color w:val="auto"/>
        </w:rPr>
        <w:t>排除标准：（1）院内死亡者；（2）其他脑出血类型者，如蛛网膜下腔出血、创伤性脑出血等；（3）妊娠或哺乳期妇女；（4）缺血性脑卒中者；（5）颅脑感染或手术史者；（6）随访数据缺失者；（7）合并其他神经系统疾病者，如帕金森病、癫痫、中枢神经系统感染等；（8）精神病患者；（9）恶性肿瘤者；（10）血液系统疾病者。</w:t>
      </w:r>
    </w:p>
    <w:p w14:paraId="18FE0A6C">
      <w:pPr>
        <w:pStyle w:val="29"/>
        <w:spacing w:line="360" w:lineRule="auto"/>
        <w:ind w:firstLine="420"/>
        <w:rPr>
          <w:rFonts w:ascii="Times New Roman" w:hAnsi="Times New Roman" w:cs="Times New Roman"/>
          <w:color w:val="auto"/>
        </w:rPr>
      </w:pPr>
      <w:r>
        <w:rPr>
          <w:rFonts w:ascii="Times New Roman" w:hAnsi="Times New Roman" w:cs="Times New Roman"/>
          <w:color w:val="auto"/>
        </w:rPr>
        <w:t>二、方法</w:t>
      </w:r>
    </w:p>
    <w:p w14:paraId="0A5390C0">
      <w:pPr>
        <w:pStyle w:val="40"/>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（一）样本量估算</w:t>
      </w:r>
    </w:p>
    <w:p w14:paraId="106DAC0F">
      <w:pPr>
        <w:pStyle w:val="40"/>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根据Logistic回归模型的经验法则，建议每个自变量事件数不少于10，根据既往研究报道HICH患者6个月不良预后发生率约45%</w:t>
      </w:r>
      <w:r>
        <w:rPr>
          <w:rFonts w:ascii="Times New Roman" w:hAnsi="Times New Roman" w:eastAsia="宋体" w:cs="Times New Roman"/>
          <w:color w:val="auto"/>
          <w:vertAlign w:val="superscript"/>
        </w:rPr>
        <w:t>[10]</w:t>
      </w:r>
      <w:r>
        <w:rPr>
          <w:rFonts w:ascii="Times New Roman" w:hAnsi="Times New Roman" w:eastAsia="宋体" w:cs="Times New Roman"/>
          <w:color w:val="auto"/>
        </w:rPr>
        <w:t>，本研究预计纳入6个预测变量，总样本量</w:t>
      </w:r>
      <w:r>
        <w:rPr>
          <w:rFonts w:hint="eastAsia" w:ascii="Times New Roman" w:hAnsi="Times New Roman" w:eastAsia="宋体" w:cs="Times New Roman"/>
          <w:color w:val="auto"/>
        </w:rPr>
        <w:t>=</w:t>
      </w:r>
      <w:r>
        <w:rPr>
          <w:rFonts w:ascii="Times New Roman" w:hAnsi="Times New Roman" w:eastAsia="宋体" w:cs="Times New Roman"/>
          <w:color w:val="auto"/>
        </w:rPr>
        <w:t>事件数/预后不良发生率</w:t>
      </w:r>
      <w:r>
        <w:rPr>
          <w:rFonts w:hint="eastAsia" w:ascii="Times New Roman" w:hAnsi="Times New Roman" w:eastAsia="宋体" w:cs="Times New Roman"/>
          <w:color w:val="auto"/>
        </w:rPr>
        <w:t>=</w:t>
      </w:r>
      <w:r>
        <w:rPr>
          <w:rFonts w:ascii="Times New Roman" w:hAnsi="Times New Roman" w:eastAsia="宋体" w:cs="Times New Roman"/>
          <w:color w:val="auto"/>
        </w:rPr>
        <w:t>60/0.45≈133.33，故最少需要纳入134例HICH患者。同时，按照1∶1的原则纳入健康体检志愿者。</w:t>
      </w:r>
    </w:p>
    <w:p w14:paraId="64E28D8D">
      <w:pPr>
        <w:pStyle w:val="40"/>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（二）血清VE-cadherin、S1P水平及凝血功能指标检测</w:t>
      </w:r>
    </w:p>
    <w:p w14:paraId="625D3C87">
      <w:pPr>
        <w:pStyle w:val="29"/>
        <w:spacing w:line="360" w:lineRule="auto"/>
        <w:ind w:firstLine="420"/>
        <w:rPr>
          <w:rFonts w:ascii="Times New Roman" w:hAnsi="Times New Roman" w:cs="Times New Roman"/>
          <w:color w:val="auto"/>
        </w:rPr>
      </w:pPr>
      <w:r>
        <w:rPr>
          <w:rFonts w:ascii="Times New Roman" w:hAnsi="Times New Roman" w:cs="Times New Roman"/>
          <w:color w:val="auto"/>
        </w:rPr>
        <w:t>采集试验组入院时和对照组体检时静脉血6 mL。部分血样在4 ℃下、以1500×</w:t>
      </w:r>
      <w:r>
        <w:rPr>
          <w:rFonts w:ascii="Times New Roman" w:hAnsi="Times New Roman" w:cs="Times New Roman"/>
          <w:i/>
          <w:iCs/>
          <w:color w:val="auto"/>
        </w:rPr>
        <w:t>g</w:t>
      </w:r>
      <w:r>
        <w:rPr>
          <w:rFonts w:ascii="Times New Roman" w:hAnsi="Times New Roman" w:cs="Times New Roman"/>
          <w:color w:val="auto"/>
        </w:rPr>
        <w:t>离心15 min，取上清液，采用酶联免疫吸附试验法检测VE-cadherin（货号：TD711263，武汉百意欣生物技术有限公司生产）、S1P（货号：DM6760，上海笃玛生物科技有限公司生产）水平。部分血样置于枸橼酸钠抗凝管中，采用全自动血凝分析仪（型号：CX-9000，深圳迈瑞生物医疗电子有限公司生产）及配套试剂检测凝血功能，包括D-二聚体（D-dimer，D-D）、纤维蛋白原（fibrinogen，FIB）、凝血酶原时间（prothrombin time，PT）、凝血酶时间（thrombin time，TT）、活化部分凝血酶时间（activated partial thromboplastin time，APTT）。</w:t>
      </w:r>
    </w:p>
    <w:p w14:paraId="2DE7ECDF">
      <w:pPr>
        <w:pStyle w:val="40"/>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（三）资料收集</w:t>
      </w:r>
    </w:p>
    <w:p w14:paraId="3576FB15">
      <w:pPr>
        <w:pStyle w:val="29"/>
        <w:spacing w:line="360" w:lineRule="auto"/>
        <w:ind w:firstLine="420"/>
        <w:rPr>
          <w:rFonts w:ascii="Times New Roman" w:hAnsi="Times New Roman" w:cs="Times New Roman"/>
          <w:color w:val="auto"/>
        </w:rPr>
      </w:pPr>
      <w:r>
        <w:rPr>
          <w:rFonts w:ascii="Times New Roman" w:hAnsi="Times New Roman" w:cs="Times New Roman"/>
          <w:color w:val="auto"/>
        </w:rPr>
        <w:t>收集所有HICH患者的一般资料，包括性别、年龄、高血压病程、烟酒嗜好、血压、基础疾病、出血部位、发病至入院时间、血肿体积、手术方式、术前应用止血剂（如氨甲环酸、维生素K、凝血因子制剂等）、入院时格拉斯哥昏迷评分（Glasgow coma score，GCS）、入院时美国国立卫生研究院卒中量表（National Institute of Health stroke scale，NIHSS）评分、白细胞计数、血红蛋白、血小板计数、血肌酐、血尿素氮、C反应蛋白等。</w:t>
      </w:r>
    </w:p>
    <w:p w14:paraId="308B26D4">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（四）分组</w:t>
      </w:r>
    </w:p>
    <w:p w14:paraId="380C44B8">
      <w:pPr>
        <w:pStyle w:val="29"/>
        <w:spacing w:line="360" w:lineRule="auto"/>
        <w:ind w:firstLine="420"/>
        <w:rPr>
          <w:rFonts w:ascii="Times New Roman" w:hAnsi="Times New Roman" w:cs="Times New Roman"/>
          <w:color w:val="auto"/>
        </w:rPr>
      </w:pPr>
      <w:r>
        <w:rPr>
          <w:rFonts w:ascii="Times New Roman" w:hAnsi="Times New Roman" w:cs="Times New Roman"/>
          <w:color w:val="auto"/>
        </w:rPr>
        <w:t>1.按入院时神经缺损情况分组：根据入院时NIHSS评分将HICH患者分为轻度缺损组（≤4分，41例）、中度缺损组（5~15分，33例）、中重度缺损组（＞15~20分，35例）</w:t>
      </w:r>
      <w:r>
        <w:rPr>
          <w:rFonts w:hint="eastAsia" w:ascii="Times New Roman" w:hAnsi="Times New Roman" w:cs="Times New Roman"/>
          <w:color w:val="auto"/>
        </w:rPr>
        <w:t>和</w:t>
      </w:r>
      <w:r>
        <w:rPr>
          <w:rFonts w:ascii="Times New Roman" w:hAnsi="Times New Roman" w:cs="Times New Roman"/>
          <w:color w:val="auto"/>
        </w:rPr>
        <w:t>重度缺损组（≥21分，25例）</w:t>
      </w:r>
      <w:r>
        <w:rPr>
          <w:rFonts w:ascii="Times New Roman" w:hAnsi="Times New Roman" w:cs="Times New Roman"/>
          <w:color w:val="auto"/>
          <w:vertAlign w:val="superscript"/>
        </w:rPr>
        <w:t>[11]</w:t>
      </w:r>
      <w:r>
        <w:rPr>
          <w:rFonts w:ascii="Times New Roman" w:hAnsi="Times New Roman" w:cs="Times New Roman"/>
          <w:color w:val="auto"/>
        </w:rPr>
        <w:t>。</w:t>
      </w:r>
    </w:p>
    <w:p w14:paraId="655D5074">
      <w:pPr>
        <w:pStyle w:val="29"/>
        <w:spacing w:line="360" w:lineRule="auto"/>
        <w:ind w:firstLine="420"/>
        <w:rPr>
          <w:rFonts w:ascii="Times New Roman" w:hAnsi="Times New Roman" w:cs="Times New Roman"/>
          <w:color w:val="auto"/>
        </w:rPr>
      </w:pPr>
      <w:r>
        <w:rPr>
          <w:rFonts w:ascii="Times New Roman" w:hAnsi="Times New Roman" w:cs="Times New Roman"/>
          <w:color w:val="auto"/>
        </w:rPr>
        <w:t>2.按预后分组：通过门诊或电话对HICH患者进行为期6个月的随访，根据</w:t>
      </w:r>
      <w:r>
        <w:rPr>
          <w:rFonts w:ascii="Times New Roman" w:hAnsi="Times New Roman" w:cs="Times New Roman"/>
          <w:color w:val="auto"/>
          <w:lang w:bidi="ar"/>
        </w:rPr>
        <w:t>改良Rankin量表（modified Rankin scale，mRS；</w:t>
      </w:r>
      <w:r>
        <w:rPr>
          <w:rFonts w:ascii="Times New Roman" w:hAnsi="Times New Roman" w:cs="Times New Roman"/>
          <w:color w:val="auto"/>
        </w:rPr>
        <w:t>0~6级，分级越高则神经功能结局越差</w:t>
      </w:r>
      <w:r>
        <w:rPr>
          <w:rFonts w:ascii="Times New Roman" w:hAnsi="Times New Roman" w:cs="Times New Roman"/>
          <w:color w:val="auto"/>
          <w:lang w:bidi="ar"/>
        </w:rPr>
        <w:t>）进行</w:t>
      </w:r>
      <w:r>
        <w:rPr>
          <w:rFonts w:ascii="Times New Roman" w:hAnsi="Times New Roman" w:cs="Times New Roman"/>
          <w:color w:val="auto"/>
        </w:rPr>
        <w:t>预后评估，分为不良组（60例）和良好组（74例）。预后不良定义为</w:t>
      </w:r>
      <w:r>
        <w:rPr>
          <w:rFonts w:ascii="Times New Roman" w:hAnsi="Times New Roman" w:cs="Times New Roman"/>
          <w:color w:val="auto"/>
          <w:lang w:bidi="ar"/>
        </w:rPr>
        <w:t>mRS</w:t>
      </w:r>
      <w:r>
        <w:rPr>
          <w:rFonts w:ascii="Times New Roman" w:hAnsi="Times New Roman" w:cs="Times New Roman"/>
          <w:color w:val="auto"/>
        </w:rPr>
        <w:t>＞2级或死亡，良好预后定义为</w:t>
      </w:r>
      <w:r>
        <w:rPr>
          <w:rFonts w:ascii="Times New Roman" w:hAnsi="Times New Roman" w:cs="Times New Roman"/>
          <w:color w:val="auto"/>
          <w:lang w:bidi="ar"/>
        </w:rPr>
        <w:t>mRS</w:t>
      </w:r>
      <w:r>
        <w:rPr>
          <w:rFonts w:ascii="Times New Roman" w:hAnsi="Times New Roman" w:cs="Times New Roman"/>
          <w:color w:val="auto"/>
        </w:rPr>
        <w:t>≤2级</w:t>
      </w:r>
      <w:r>
        <w:rPr>
          <w:rFonts w:ascii="Times New Roman" w:hAnsi="Times New Roman" w:cs="Times New Roman"/>
          <w:color w:val="auto"/>
          <w:vertAlign w:val="superscript"/>
        </w:rPr>
        <w:t>[11]</w:t>
      </w:r>
      <w:r>
        <w:rPr>
          <w:rFonts w:ascii="Times New Roman" w:hAnsi="Times New Roman" w:cs="Times New Roman"/>
          <w:color w:val="auto"/>
        </w:rPr>
        <w:t>。</w:t>
      </w:r>
    </w:p>
    <w:p w14:paraId="47E4703F">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三、统计学分析</w:t>
      </w:r>
    </w:p>
    <w:p w14:paraId="21B2EF44">
      <w:pPr>
        <w:pStyle w:val="29"/>
        <w:spacing w:line="360" w:lineRule="auto"/>
        <w:ind w:firstLine="420"/>
        <w:rPr>
          <w:rFonts w:ascii="Times New Roman" w:hAnsi="Times New Roman" w:cs="Times New Roman"/>
          <w:i/>
          <w:iCs/>
          <w:color w:val="auto"/>
        </w:rPr>
      </w:pPr>
      <w:r>
        <w:rPr>
          <w:rFonts w:ascii="Times New Roman" w:hAnsi="Times New Roman" w:cs="Times New Roman"/>
          <w:color w:val="auto"/>
        </w:rPr>
        <w:t>采用SPSS 28.0软件进行统计学分析。计数资料性别、不良嗜好、基础疾病等以例（%）表示，</w:t>
      </w:r>
      <w:r>
        <w:rPr>
          <w:rFonts w:hint="eastAsia" w:ascii="Times New Roman" w:hAnsi="Times New Roman" w:cs="Times New Roman"/>
          <w:color w:val="auto"/>
        </w:rPr>
        <w:t>组间</w:t>
      </w:r>
      <w:r>
        <w:rPr>
          <w:rFonts w:ascii="Times New Roman" w:hAnsi="Times New Roman" w:cs="Times New Roman"/>
          <w:color w:val="auto"/>
        </w:rPr>
        <w:t>比较采用</w:t>
      </w:r>
      <w:r>
        <w:rPr>
          <w:rFonts w:ascii="Times New Roman" w:hAnsi="Times New Roman" w:cs="Times New Roman"/>
          <w:i/>
          <w:color w:val="auto"/>
        </w:rPr>
        <w:t>χ</w:t>
      </w:r>
      <w:r>
        <w:rPr>
          <w:rFonts w:ascii="Times New Roman" w:hAnsi="Times New Roman" w:cs="Times New Roman"/>
          <w:color w:val="auto"/>
          <w:vertAlign w:val="superscript"/>
        </w:rPr>
        <w:t>2</w:t>
      </w:r>
      <w:r>
        <w:rPr>
          <w:rFonts w:ascii="Times New Roman" w:hAnsi="Times New Roman" w:cs="Times New Roman"/>
          <w:color w:val="auto"/>
        </w:rPr>
        <w:t>检验；经</w:t>
      </w:r>
      <w:r>
        <w:rPr>
          <w:rFonts w:ascii="Times New Roman" w:hAnsi="Times New Roman" w:cs="Times New Roman"/>
          <w:i/>
          <w:iCs/>
          <w:color w:val="auto"/>
        </w:rPr>
        <w:t>K</w:t>
      </w:r>
      <w:r>
        <w:rPr>
          <w:rFonts w:ascii="Times New Roman" w:hAnsi="Times New Roman" w:cs="Times New Roman"/>
          <w:color w:val="auto"/>
        </w:rPr>
        <w:t>-</w:t>
      </w:r>
      <w:r>
        <w:rPr>
          <w:rFonts w:ascii="Times New Roman" w:hAnsi="Times New Roman" w:cs="Times New Roman"/>
          <w:i/>
          <w:iCs/>
          <w:color w:val="auto"/>
        </w:rPr>
        <w:t>S</w:t>
      </w:r>
      <w:r>
        <w:rPr>
          <w:rFonts w:ascii="Times New Roman" w:hAnsi="Times New Roman" w:cs="Times New Roman"/>
          <w:color w:val="auto"/>
        </w:rPr>
        <w:t>正态性检验呈正态分布的计量资料（如年龄、S1P、FIB等）以</w:t>
      </w:r>
      <w:r>
        <w:rPr>
          <w:rFonts w:ascii="Times New Roman" w:hAnsi="Times New Roman" w:cs="Times New Roman"/>
          <w:color w:val="auto"/>
          <w:position w:val="-6"/>
        </w:rPr>
        <w:object>
          <v:shape id="_x0000_i1025"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25" DrawAspect="Content" ObjectID="_1468075725" r:id="rId4">
            <o:LockedField>false</o:LockedField>
          </o:OLEObject>
        </w:object>
      </w:r>
      <w:r>
        <w:rPr>
          <w:rFonts w:ascii="Times New Roman" w:hAnsi="Times New Roman" w:cs="Times New Roman"/>
          <w:color w:val="auto"/>
        </w:rPr>
        <w:t>表示，</w:t>
      </w:r>
      <w:r>
        <w:rPr>
          <w:rFonts w:hint="eastAsia" w:ascii="Times New Roman" w:hAnsi="Times New Roman" w:cs="Times New Roman"/>
          <w:color w:val="auto"/>
        </w:rPr>
        <w:t>组间</w:t>
      </w:r>
      <w:r>
        <w:rPr>
          <w:rFonts w:ascii="Times New Roman" w:hAnsi="Times New Roman" w:cs="Times New Roman"/>
          <w:color w:val="auto"/>
        </w:rPr>
        <w:t>比较采用</w:t>
      </w:r>
      <w:r>
        <w:rPr>
          <w:rFonts w:ascii="Times New Roman" w:hAnsi="Times New Roman" w:cs="Times New Roman"/>
          <w:i/>
          <w:color w:val="auto"/>
        </w:rPr>
        <w:t>t</w:t>
      </w:r>
      <w:r>
        <w:rPr>
          <w:rFonts w:ascii="Times New Roman" w:hAnsi="Times New Roman" w:cs="Times New Roman"/>
          <w:color w:val="auto"/>
        </w:rPr>
        <w:t>检验或线性趋势</w:t>
      </w:r>
      <w:r>
        <w:rPr>
          <w:rFonts w:ascii="Times New Roman" w:hAnsi="Times New Roman" w:cs="Times New Roman"/>
          <w:i/>
          <w:color w:val="auto"/>
        </w:rPr>
        <w:t>F</w:t>
      </w:r>
      <w:r>
        <w:rPr>
          <w:rFonts w:ascii="Times New Roman" w:hAnsi="Times New Roman" w:cs="Times New Roman"/>
          <w:color w:val="auto"/>
        </w:rPr>
        <w:t>检验，非正态分布的计量资料（如VE-cadherin、D-D、TT等）以</w:t>
      </w:r>
      <w:r>
        <w:rPr>
          <w:rFonts w:ascii="Times New Roman" w:hAnsi="Times New Roman" w:cs="Times New Roman"/>
          <w:i/>
          <w:color w:val="auto"/>
        </w:rPr>
        <w:t>M</w:t>
      </w:r>
      <w:r>
        <w:rPr>
          <w:rFonts w:ascii="Times New Roman" w:hAnsi="Times New Roman" w:cs="Times New Roman"/>
          <w:color w:val="auto"/>
        </w:rPr>
        <w:t>（</w:t>
      </w:r>
      <w:r>
        <w:rPr>
          <w:rFonts w:ascii="Times New Roman" w:hAnsi="Times New Roman" w:cs="Times New Roman"/>
          <w:i/>
          <w:color w:val="auto"/>
        </w:rPr>
        <w:t>Q</w:t>
      </w:r>
      <w:r>
        <w:rPr>
          <w:rFonts w:ascii="Times New Roman" w:hAnsi="Times New Roman" w:cs="Times New Roman"/>
          <w:iCs/>
          <w:color w:val="auto"/>
          <w:vertAlign w:val="subscript"/>
        </w:rPr>
        <w:t>1</w:t>
      </w:r>
      <w:r>
        <w:rPr>
          <w:rFonts w:ascii="Times New Roman" w:hAnsi="Times New Roman" w:cs="Times New Roman"/>
          <w:color w:val="auto"/>
        </w:rPr>
        <w:t>，</w:t>
      </w:r>
      <w:r>
        <w:rPr>
          <w:rFonts w:ascii="Times New Roman" w:hAnsi="Times New Roman" w:cs="Times New Roman"/>
          <w:i/>
          <w:color w:val="auto"/>
        </w:rPr>
        <w:t>Q</w:t>
      </w:r>
      <w:r>
        <w:rPr>
          <w:rFonts w:ascii="Times New Roman" w:hAnsi="Times New Roman" w:cs="Times New Roman"/>
          <w:iCs/>
          <w:color w:val="auto"/>
          <w:vertAlign w:val="subscript"/>
        </w:rPr>
        <w:t>3</w:t>
      </w:r>
      <w:r>
        <w:rPr>
          <w:rFonts w:ascii="Times New Roman" w:hAnsi="Times New Roman" w:cs="Times New Roman"/>
          <w:color w:val="auto"/>
        </w:rPr>
        <w:t>）表示，</w:t>
      </w:r>
      <w:r>
        <w:rPr>
          <w:rFonts w:hint="eastAsia" w:ascii="Times New Roman" w:hAnsi="Times New Roman" w:cs="Times New Roman"/>
          <w:color w:val="auto"/>
        </w:rPr>
        <w:t>组间比较采用</w:t>
      </w:r>
      <w:r>
        <w:rPr>
          <w:rFonts w:hint="eastAsia" w:ascii="Times New Roman" w:hAnsi="Times New Roman" w:cs="Times New Roman"/>
          <w:i w:val="0"/>
          <w:iCs w:val="0"/>
          <w:color w:val="auto"/>
          <w:lang w:val="en-US" w:eastAsia="zh-CN"/>
        </w:rPr>
        <w:t>非参数检验</w:t>
      </w:r>
      <w:r>
        <w:rPr>
          <w:rFonts w:ascii="Times New Roman" w:hAnsi="Times New Roman" w:cs="Times New Roman"/>
          <w:color w:val="auto"/>
        </w:rPr>
        <w:t>；采用Pearson/Spearman相关分析HICH患者血清VE-cadherin、S1P水平与病情程度、凝血功能的相关性；采用单因素和多因素Logistic回归分析HICH患者短期预后的因素，采用受试者操作特征（receiver operator characteristic，ROC）曲线分析血清VE-cadherin、S1P水平对HICH患者短期预后的预测效能。以</w:t>
      </w:r>
      <w:r>
        <w:rPr>
          <w:rFonts w:ascii="Times New Roman" w:hAnsi="Times New Roman" w:cs="Times New Roman"/>
          <w:i/>
          <w:iCs/>
          <w:color w:val="auto"/>
        </w:rPr>
        <w:t>P</w:t>
      </w:r>
      <w:r>
        <w:rPr>
          <w:rFonts w:ascii="Times New Roman" w:hAnsi="Times New Roman" w:cs="Times New Roman"/>
          <w:color w:val="auto"/>
        </w:rPr>
        <w:t>&lt;0.05为差异有统计学意义。</w:t>
      </w:r>
    </w:p>
    <w:p w14:paraId="6891B707">
      <w:pPr>
        <w:pStyle w:val="38"/>
        <w:spacing w:before="0" w:after="0" w:line="360" w:lineRule="auto"/>
        <w:jc w:val="center"/>
        <w:rPr>
          <w:rFonts w:ascii="Times New Roman" w:hAnsi="Times New Roman" w:eastAsia="宋体" w:cs="Times New Roman"/>
          <w:color w:val="auto"/>
          <w:sz w:val="21"/>
        </w:rPr>
      </w:pPr>
      <w:r>
        <w:rPr>
          <w:rFonts w:ascii="Times New Roman" w:hAnsi="Times New Roman" w:eastAsia="宋体" w:cs="Times New Roman"/>
          <w:color w:val="auto"/>
          <w:sz w:val="21"/>
        </w:rPr>
        <w:t>结    果</w:t>
      </w:r>
    </w:p>
    <w:p w14:paraId="159E396E">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一、试验组和对照组一般资料比较</w:t>
      </w:r>
    </w:p>
    <w:p w14:paraId="68CE7766">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试验组</w:t>
      </w:r>
      <w:r>
        <w:rPr>
          <w:rFonts w:ascii="Times New Roman" w:hAnsi="Times New Roman" w:cs="Times New Roman"/>
          <w:color w:val="auto"/>
        </w:rPr>
        <w:t>HICH</w:t>
      </w:r>
      <w:r>
        <w:rPr>
          <w:rFonts w:ascii="Times New Roman" w:hAnsi="Times New Roman" w:eastAsia="宋体" w:cs="Times New Roman"/>
          <w:color w:val="auto"/>
        </w:rPr>
        <w:t>患者和对照组健康体检志愿者的年龄、性别、体质量指数、饮酒史、吸烟史等一般资料比较，差异均无统计学意义（</w:t>
      </w:r>
      <w:r>
        <w:rPr>
          <w:rFonts w:ascii="Times New Roman" w:hAnsi="Times New Roman" w:eastAsia="宋体" w:cs="Times New Roman"/>
          <w:i/>
          <w:color w:val="auto"/>
        </w:rPr>
        <w:t>P</w:t>
      </w:r>
      <w:r>
        <w:rPr>
          <w:rFonts w:ascii="Times New Roman" w:hAnsi="Times New Roman" w:eastAsia="宋体" w:cs="Times New Roman"/>
          <w:iCs/>
          <w:color w:val="auto"/>
        </w:rPr>
        <w:t>均</w:t>
      </w:r>
      <w:r>
        <w:rPr>
          <w:rFonts w:ascii="Times New Roman" w:hAnsi="Times New Roman" w:eastAsia="宋体" w:cs="Times New Roman"/>
          <w:color w:val="auto"/>
        </w:rPr>
        <w:t>＞0.05，表1）。</w:t>
      </w:r>
    </w:p>
    <w:p w14:paraId="0DF99E9E">
      <w:pPr>
        <w:pStyle w:val="39"/>
        <w:spacing w:line="360" w:lineRule="auto"/>
        <w:jc w:val="center"/>
        <w:rPr>
          <w:rFonts w:ascii="Times New Roman" w:hAnsi="Times New Roman" w:eastAsia="宋体" w:cs="Times New Roman"/>
          <w:b/>
          <w:bCs/>
          <w:color w:val="auto"/>
        </w:rPr>
      </w:pPr>
    </w:p>
    <w:p w14:paraId="21936F2B">
      <w:pPr>
        <w:pStyle w:val="39"/>
        <w:spacing w:line="360" w:lineRule="auto"/>
        <w:jc w:val="center"/>
        <w:rPr>
          <w:rFonts w:ascii="Times New Roman" w:hAnsi="Times New Roman" w:eastAsia="宋体" w:cs="Times New Roman"/>
          <w:color w:val="auto"/>
        </w:rPr>
      </w:pPr>
      <w:r>
        <w:rPr>
          <w:rFonts w:ascii="Times New Roman" w:hAnsi="Times New Roman" w:eastAsia="宋体" w:cs="Times New Roman"/>
          <w:b/>
          <w:bCs/>
          <w:color w:val="auto"/>
        </w:rPr>
        <w:t>表1</w:t>
      </w:r>
      <w:r>
        <w:rPr>
          <w:rFonts w:ascii="Times New Roman" w:hAnsi="Times New Roman" w:eastAsia="宋体" w:cs="Times New Roman"/>
          <w:color w:val="auto"/>
        </w:rPr>
        <w:t xml:space="preserve">  高血压脑出血患者和健康体检志愿者一般资料比较</w:t>
      </w:r>
    </w:p>
    <w:p w14:paraId="436FA2C7">
      <w:pPr>
        <w:pStyle w:val="39"/>
        <w:spacing w:line="360" w:lineRule="auto"/>
        <w:jc w:val="center"/>
        <w:rPr>
          <w:rFonts w:ascii="Times New Roman" w:hAnsi="Times New Roman" w:eastAsia="宋体" w:cs="Times New Roman"/>
          <w:color w:val="auto"/>
        </w:rPr>
      </w:pPr>
    </w:p>
    <w:tbl>
      <w:tblPr>
        <w:tblStyle w:val="11"/>
        <w:tblW w:w="4998" w:type="pct"/>
        <w:jc w:val="center"/>
        <w:tblBorders>
          <w:top w:val="single" w:color="000000" w:sz="6" w:space="0"/>
          <w:left w:val="none" w:color="auto" w:sz="0" w:space="0"/>
          <w:bottom w:val="single" w:color="000000"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463"/>
        <w:gridCol w:w="2291"/>
        <w:gridCol w:w="2289"/>
        <w:gridCol w:w="1051"/>
        <w:gridCol w:w="695"/>
      </w:tblGrid>
      <w:tr w14:paraId="0B52589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1E650CE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项目</w:t>
            </w:r>
          </w:p>
        </w:tc>
        <w:tc>
          <w:tcPr>
            <w:tcW w:w="1170"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25AC1391">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试验组（</w:t>
            </w:r>
            <w:r>
              <w:rPr>
                <w:rFonts w:ascii="Times New Roman" w:hAnsi="Times New Roman" w:eastAsia="宋体" w:cs="Times New Roman"/>
                <w:i/>
                <w:color w:val="auto"/>
                <w:sz w:val="21"/>
              </w:rPr>
              <w:t>n</w:t>
            </w:r>
            <w:r>
              <w:rPr>
                <w:rFonts w:hint="eastAsia" w:ascii="Times New Roman" w:hAnsi="Times New Roman" w:eastAsia="宋体" w:cs="Times New Roman"/>
                <w:color w:val="auto"/>
                <w:sz w:val="21"/>
              </w:rPr>
              <w:t>=</w:t>
            </w:r>
            <w:r>
              <w:rPr>
                <w:rFonts w:ascii="Times New Roman" w:hAnsi="Times New Roman" w:eastAsia="宋体" w:cs="Times New Roman"/>
                <w:color w:val="auto"/>
                <w:sz w:val="21"/>
              </w:rPr>
              <w:t>134）</w:t>
            </w:r>
          </w:p>
        </w:tc>
        <w:tc>
          <w:tcPr>
            <w:tcW w:w="116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557776D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对照组（</w:t>
            </w:r>
            <w:r>
              <w:rPr>
                <w:rFonts w:ascii="Times New Roman" w:hAnsi="Times New Roman" w:eastAsia="宋体" w:cs="Times New Roman"/>
                <w:i/>
                <w:color w:val="auto"/>
                <w:sz w:val="21"/>
              </w:rPr>
              <w:t>n</w:t>
            </w:r>
            <w:r>
              <w:rPr>
                <w:rFonts w:hint="eastAsia" w:ascii="Times New Roman" w:hAnsi="Times New Roman" w:eastAsia="宋体" w:cs="Times New Roman"/>
                <w:color w:val="auto"/>
                <w:sz w:val="21"/>
              </w:rPr>
              <w:t>=</w:t>
            </w:r>
            <w:r>
              <w:rPr>
                <w:rFonts w:ascii="Times New Roman" w:hAnsi="Times New Roman" w:eastAsia="宋体" w:cs="Times New Roman"/>
                <w:color w:val="auto"/>
                <w:sz w:val="21"/>
              </w:rPr>
              <w:t>134）</w:t>
            </w:r>
          </w:p>
        </w:tc>
        <w:tc>
          <w:tcPr>
            <w:tcW w:w="537"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631810A4">
            <w:pPr>
              <w:pStyle w:val="47"/>
              <w:spacing w:line="360" w:lineRule="auto"/>
              <w:rPr>
                <w:rFonts w:ascii="Times New Roman" w:hAnsi="Times New Roman" w:eastAsia="宋体" w:cs="Times New Roman"/>
                <w:color w:val="auto"/>
                <w:sz w:val="21"/>
              </w:rPr>
            </w:pPr>
            <w:r>
              <w:rPr>
                <w:rFonts w:ascii="Times New Roman" w:hAnsi="Times New Roman" w:eastAsia="宋体" w:cs="Times New Roman"/>
                <w:iCs/>
                <w:color w:val="auto"/>
                <w:sz w:val="21"/>
              </w:rPr>
              <w:t>统计值</w:t>
            </w:r>
          </w:p>
        </w:tc>
        <w:tc>
          <w:tcPr>
            <w:tcW w:w="355"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2D43564B">
            <w:pPr>
              <w:pStyle w:val="47"/>
              <w:spacing w:line="360" w:lineRule="auto"/>
              <w:rPr>
                <w:rFonts w:ascii="Times New Roman" w:hAnsi="Times New Roman" w:eastAsia="宋体" w:cs="Times New Roman"/>
                <w:iCs/>
                <w:color w:val="auto"/>
                <w:sz w:val="21"/>
              </w:rPr>
            </w:pPr>
            <w:r>
              <w:rPr>
                <w:rFonts w:ascii="Times New Roman" w:hAnsi="Times New Roman" w:eastAsia="宋体" w:cs="Times New Roman"/>
                <w:i/>
                <w:color w:val="auto"/>
                <w:sz w:val="21"/>
              </w:rPr>
              <w:t>P</w:t>
            </w:r>
            <w:r>
              <w:rPr>
                <w:rFonts w:ascii="Times New Roman" w:hAnsi="Times New Roman" w:eastAsia="宋体" w:cs="Times New Roman"/>
                <w:iCs/>
                <w:color w:val="auto"/>
                <w:sz w:val="21"/>
              </w:rPr>
              <w:t>值</w:t>
            </w:r>
          </w:p>
        </w:tc>
      </w:tr>
      <w:tr w14:paraId="013C7EB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9" w:type="pct"/>
            <w:tcBorders>
              <w:top w:val="single" w:color="000000" w:sz="2" w:space="0"/>
              <w:left w:val="nil"/>
              <w:bottom w:val="nil"/>
              <w:right w:val="nil"/>
            </w:tcBorders>
            <w:tcMar>
              <w:top w:w="23" w:type="dxa"/>
              <w:left w:w="23" w:type="dxa"/>
              <w:bottom w:w="23" w:type="dxa"/>
              <w:right w:w="23" w:type="dxa"/>
            </w:tcMar>
            <w:vAlign w:val="center"/>
          </w:tcPr>
          <w:p w14:paraId="711E1895">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性别[例（%）]</w:t>
            </w:r>
          </w:p>
        </w:tc>
        <w:tc>
          <w:tcPr>
            <w:tcW w:w="1170" w:type="pct"/>
            <w:tcBorders>
              <w:top w:val="single" w:color="000000" w:sz="2" w:space="0"/>
              <w:left w:val="nil"/>
              <w:bottom w:val="nil"/>
              <w:right w:val="nil"/>
            </w:tcBorders>
            <w:tcMar>
              <w:top w:w="23" w:type="dxa"/>
              <w:left w:w="23" w:type="dxa"/>
              <w:bottom w:w="23" w:type="dxa"/>
              <w:right w:w="23" w:type="dxa"/>
            </w:tcMar>
            <w:vAlign w:val="center"/>
          </w:tcPr>
          <w:p w14:paraId="2AA20A03">
            <w:pPr>
              <w:pStyle w:val="47"/>
              <w:spacing w:line="360" w:lineRule="auto"/>
              <w:rPr>
                <w:rFonts w:ascii="Times New Roman" w:hAnsi="Times New Roman" w:eastAsia="宋体" w:cs="Times New Roman"/>
                <w:color w:val="auto"/>
                <w:sz w:val="21"/>
              </w:rPr>
            </w:pPr>
          </w:p>
        </w:tc>
        <w:tc>
          <w:tcPr>
            <w:tcW w:w="1169" w:type="pct"/>
            <w:tcBorders>
              <w:top w:val="single" w:color="000000" w:sz="2" w:space="0"/>
              <w:left w:val="nil"/>
              <w:bottom w:val="nil"/>
              <w:right w:val="nil"/>
            </w:tcBorders>
            <w:tcMar>
              <w:top w:w="23" w:type="dxa"/>
              <w:left w:w="23" w:type="dxa"/>
              <w:bottom w:w="23" w:type="dxa"/>
              <w:right w:w="23" w:type="dxa"/>
            </w:tcMar>
            <w:vAlign w:val="center"/>
          </w:tcPr>
          <w:p w14:paraId="2566CE90">
            <w:pPr>
              <w:pStyle w:val="47"/>
              <w:spacing w:line="360" w:lineRule="auto"/>
              <w:rPr>
                <w:rFonts w:ascii="Times New Roman" w:hAnsi="Times New Roman" w:eastAsia="宋体" w:cs="Times New Roman"/>
                <w:color w:val="auto"/>
                <w:sz w:val="21"/>
              </w:rPr>
            </w:pPr>
          </w:p>
        </w:tc>
        <w:tc>
          <w:tcPr>
            <w:tcW w:w="537" w:type="pct"/>
            <w:tcBorders>
              <w:top w:val="single" w:color="000000" w:sz="2" w:space="0"/>
              <w:left w:val="nil"/>
              <w:bottom w:val="nil"/>
              <w:right w:val="nil"/>
            </w:tcBorders>
            <w:tcMar>
              <w:top w:w="23" w:type="dxa"/>
              <w:left w:w="23" w:type="dxa"/>
              <w:bottom w:w="23" w:type="dxa"/>
              <w:right w:w="23" w:type="dxa"/>
            </w:tcMar>
            <w:vAlign w:val="center"/>
          </w:tcPr>
          <w:p w14:paraId="740F2A00">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=0.063</w:t>
            </w:r>
          </w:p>
        </w:tc>
        <w:tc>
          <w:tcPr>
            <w:tcW w:w="355" w:type="pct"/>
            <w:tcBorders>
              <w:top w:val="single" w:color="000000" w:sz="2" w:space="0"/>
              <w:left w:val="nil"/>
              <w:bottom w:val="nil"/>
              <w:right w:val="nil"/>
            </w:tcBorders>
            <w:tcMar>
              <w:top w:w="23" w:type="dxa"/>
              <w:left w:w="23" w:type="dxa"/>
              <w:bottom w:w="23" w:type="dxa"/>
              <w:right w:w="23" w:type="dxa"/>
            </w:tcMar>
            <w:vAlign w:val="center"/>
          </w:tcPr>
          <w:p w14:paraId="04CB2AFA">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0.802</w:t>
            </w:r>
          </w:p>
        </w:tc>
      </w:tr>
      <w:tr w14:paraId="366618CA">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08D69179">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男</w:t>
            </w:r>
          </w:p>
        </w:tc>
        <w:tc>
          <w:tcPr>
            <w:tcW w:w="1170" w:type="pct"/>
            <w:tcBorders>
              <w:top w:val="nil"/>
              <w:left w:val="nil"/>
              <w:bottom w:val="nil"/>
              <w:right w:val="nil"/>
            </w:tcBorders>
            <w:tcMar>
              <w:top w:w="23" w:type="dxa"/>
              <w:left w:w="23" w:type="dxa"/>
              <w:bottom w:w="23" w:type="dxa"/>
              <w:right w:w="23" w:type="dxa"/>
            </w:tcMar>
            <w:vAlign w:val="center"/>
          </w:tcPr>
          <w:p w14:paraId="2A9771A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81（60.45）</w:t>
            </w:r>
          </w:p>
        </w:tc>
        <w:tc>
          <w:tcPr>
            <w:tcW w:w="1169" w:type="pct"/>
            <w:tcBorders>
              <w:top w:val="nil"/>
              <w:left w:val="nil"/>
              <w:bottom w:val="nil"/>
              <w:right w:val="nil"/>
            </w:tcBorders>
            <w:tcMar>
              <w:top w:w="23" w:type="dxa"/>
              <w:left w:w="23" w:type="dxa"/>
              <w:bottom w:w="23" w:type="dxa"/>
              <w:right w:w="23" w:type="dxa"/>
            </w:tcMar>
            <w:vAlign w:val="center"/>
          </w:tcPr>
          <w:p w14:paraId="0EEFD67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83（61.94）</w:t>
            </w:r>
          </w:p>
        </w:tc>
        <w:tc>
          <w:tcPr>
            <w:tcW w:w="537" w:type="pct"/>
            <w:tcBorders>
              <w:top w:val="nil"/>
              <w:left w:val="nil"/>
              <w:bottom w:val="nil"/>
              <w:right w:val="nil"/>
            </w:tcBorders>
            <w:tcMar>
              <w:top w:w="23" w:type="dxa"/>
              <w:left w:w="23" w:type="dxa"/>
              <w:bottom w:w="23" w:type="dxa"/>
              <w:right w:w="23" w:type="dxa"/>
            </w:tcMar>
            <w:vAlign w:val="center"/>
          </w:tcPr>
          <w:p w14:paraId="22037DAB">
            <w:pPr>
              <w:pStyle w:val="47"/>
              <w:spacing w:line="360" w:lineRule="auto"/>
              <w:rPr>
                <w:rFonts w:ascii="Times New Roman" w:hAnsi="Times New Roman" w:eastAsia="宋体" w:cs="Times New Roman"/>
                <w:color w:val="auto"/>
                <w:sz w:val="21"/>
                <w:szCs w:val="21"/>
              </w:rPr>
            </w:pPr>
          </w:p>
        </w:tc>
        <w:tc>
          <w:tcPr>
            <w:tcW w:w="355" w:type="pct"/>
            <w:tcBorders>
              <w:top w:val="nil"/>
              <w:left w:val="nil"/>
              <w:bottom w:val="nil"/>
              <w:right w:val="nil"/>
            </w:tcBorders>
            <w:tcMar>
              <w:top w:w="23" w:type="dxa"/>
              <w:left w:w="23" w:type="dxa"/>
              <w:bottom w:w="23" w:type="dxa"/>
              <w:right w:w="23" w:type="dxa"/>
            </w:tcMar>
            <w:vAlign w:val="center"/>
          </w:tcPr>
          <w:p w14:paraId="7AF8D090">
            <w:pPr>
              <w:pStyle w:val="47"/>
              <w:spacing w:line="360" w:lineRule="auto"/>
              <w:rPr>
                <w:rFonts w:ascii="Times New Roman" w:hAnsi="Times New Roman" w:eastAsia="宋体" w:cs="Times New Roman"/>
                <w:color w:val="auto"/>
                <w:sz w:val="21"/>
                <w:szCs w:val="21"/>
              </w:rPr>
            </w:pPr>
          </w:p>
        </w:tc>
      </w:tr>
      <w:tr w14:paraId="5075C553">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05D1D1FB">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女</w:t>
            </w:r>
          </w:p>
        </w:tc>
        <w:tc>
          <w:tcPr>
            <w:tcW w:w="1170" w:type="pct"/>
            <w:tcBorders>
              <w:top w:val="nil"/>
              <w:left w:val="nil"/>
              <w:bottom w:val="nil"/>
              <w:right w:val="nil"/>
            </w:tcBorders>
            <w:tcMar>
              <w:top w:w="23" w:type="dxa"/>
              <w:left w:w="23" w:type="dxa"/>
              <w:bottom w:w="23" w:type="dxa"/>
              <w:right w:w="23" w:type="dxa"/>
            </w:tcMar>
            <w:vAlign w:val="center"/>
          </w:tcPr>
          <w:p w14:paraId="5D71406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53（39.55）</w:t>
            </w:r>
          </w:p>
        </w:tc>
        <w:tc>
          <w:tcPr>
            <w:tcW w:w="1169" w:type="pct"/>
            <w:tcBorders>
              <w:top w:val="nil"/>
              <w:left w:val="nil"/>
              <w:bottom w:val="nil"/>
              <w:right w:val="nil"/>
            </w:tcBorders>
            <w:tcMar>
              <w:top w:w="23" w:type="dxa"/>
              <w:left w:w="23" w:type="dxa"/>
              <w:bottom w:w="23" w:type="dxa"/>
              <w:right w:w="23" w:type="dxa"/>
            </w:tcMar>
            <w:vAlign w:val="center"/>
          </w:tcPr>
          <w:p w14:paraId="5CC1A94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51（38.06）</w:t>
            </w:r>
          </w:p>
        </w:tc>
        <w:tc>
          <w:tcPr>
            <w:tcW w:w="537" w:type="pct"/>
            <w:tcBorders>
              <w:top w:val="nil"/>
              <w:left w:val="nil"/>
              <w:bottom w:val="nil"/>
              <w:right w:val="nil"/>
            </w:tcBorders>
            <w:tcMar>
              <w:top w:w="23" w:type="dxa"/>
              <w:left w:w="23" w:type="dxa"/>
              <w:bottom w:w="23" w:type="dxa"/>
              <w:right w:w="23" w:type="dxa"/>
            </w:tcMar>
            <w:vAlign w:val="center"/>
          </w:tcPr>
          <w:p w14:paraId="0C880986">
            <w:pPr>
              <w:pStyle w:val="47"/>
              <w:spacing w:line="360" w:lineRule="auto"/>
              <w:rPr>
                <w:rFonts w:ascii="Times New Roman" w:hAnsi="Times New Roman" w:eastAsia="宋体" w:cs="Times New Roman"/>
                <w:color w:val="auto"/>
                <w:sz w:val="21"/>
                <w:szCs w:val="21"/>
              </w:rPr>
            </w:pPr>
          </w:p>
        </w:tc>
        <w:tc>
          <w:tcPr>
            <w:tcW w:w="355" w:type="pct"/>
            <w:tcBorders>
              <w:top w:val="nil"/>
              <w:left w:val="nil"/>
              <w:bottom w:val="nil"/>
              <w:right w:val="nil"/>
            </w:tcBorders>
            <w:tcMar>
              <w:top w:w="23" w:type="dxa"/>
              <w:left w:w="23" w:type="dxa"/>
              <w:bottom w:w="23" w:type="dxa"/>
              <w:right w:w="23" w:type="dxa"/>
            </w:tcMar>
            <w:vAlign w:val="center"/>
          </w:tcPr>
          <w:p w14:paraId="59E20F67">
            <w:pPr>
              <w:pStyle w:val="47"/>
              <w:spacing w:line="360" w:lineRule="auto"/>
              <w:rPr>
                <w:rFonts w:ascii="Times New Roman" w:hAnsi="Times New Roman" w:eastAsia="宋体" w:cs="Times New Roman"/>
                <w:color w:val="auto"/>
                <w:sz w:val="21"/>
                <w:szCs w:val="21"/>
              </w:rPr>
            </w:pPr>
          </w:p>
        </w:tc>
      </w:tr>
      <w:tr w14:paraId="4360DD6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511FD200">
            <w:pPr>
              <w:pStyle w:val="47"/>
              <w:spacing w:line="360" w:lineRule="auto"/>
              <w:jc w:val="left"/>
              <w:rPr>
                <w:rFonts w:ascii="Times New Roman" w:hAnsi="Times New Roman" w:eastAsia="宋体" w:cs="Times New Roman"/>
                <w:color w:val="auto"/>
                <w:sz w:val="21"/>
                <w:highlight w:val="none"/>
              </w:rPr>
            </w:pPr>
            <w:r>
              <w:rPr>
                <w:rFonts w:ascii="Times New Roman" w:hAnsi="Times New Roman" w:eastAsia="宋体" w:cs="Times New Roman"/>
                <w:color w:val="auto"/>
                <w:sz w:val="21"/>
                <w:highlight w:val="none"/>
              </w:rPr>
              <w:t>年龄（岁，</w:t>
            </w:r>
            <w:r>
              <w:rPr>
                <w:rFonts w:ascii="Times New Roman" w:hAnsi="Times New Roman" w:eastAsia="宋体" w:cs="Times New Roman"/>
                <w:color w:val="auto"/>
                <w:position w:val="-6"/>
                <w:sz w:val="21"/>
                <w:szCs w:val="21"/>
                <w:highlight w:val="none"/>
              </w:rPr>
              <w:object>
                <v:shape id="_x0000_i1026"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26" DrawAspect="Content" ObjectID="_1468075726" r:id="rId6">
                  <o:LockedField>false</o:LockedField>
                </o:OLEObject>
              </w:object>
            </w:r>
            <w:r>
              <w:rPr>
                <w:rFonts w:ascii="Times New Roman" w:hAnsi="Times New Roman" w:eastAsia="宋体" w:cs="Times New Roman"/>
                <w:color w:val="auto"/>
                <w:sz w:val="21"/>
                <w:highlight w:val="none"/>
              </w:rPr>
              <w:t>）</w:t>
            </w:r>
          </w:p>
        </w:tc>
        <w:tc>
          <w:tcPr>
            <w:tcW w:w="1170" w:type="pct"/>
            <w:tcBorders>
              <w:top w:val="nil"/>
              <w:left w:val="nil"/>
              <w:bottom w:val="nil"/>
              <w:right w:val="nil"/>
            </w:tcBorders>
            <w:tcMar>
              <w:top w:w="23" w:type="dxa"/>
              <w:left w:w="23" w:type="dxa"/>
              <w:bottom w:w="23" w:type="dxa"/>
              <w:right w:w="23" w:type="dxa"/>
            </w:tcMar>
            <w:vAlign w:val="center"/>
          </w:tcPr>
          <w:p w14:paraId="4CC82377">
            <w:pPr>
              <w:pStyle w:val="47"/>
              <w:spacing w:line="360" w:lineRule="auto"/>
              <w:rPr>
                <w:rFonts w:ascii="Times New Roman" w:hAnsi="Times New Roman" w:eastAsia="宋体" w:cs="Times New Roman"/>
                <w:color w:val="auto"/>
                <w:sz w:val="21"/>
                <w:highlight w:val="none"/>
              </w:rPr>
            </w:pPr>
            <w:r>
              <w:rPr>
                <w:rFonts w:ascii="Times New Roman" w:hAnsi="Times New Roman" w:eastAsia="宋体" w:cs="Times New Roman"/>
                <w:color w:val="auto"/>
                <w:sz w:val="21"/>
                <w:highlight w:val="none"/>
              </w:rPr>
              <w:t>62.8</w:t>
            </w:r>
            <w:r>
              <w:rPr>
                <w:rFonts w:hint="eastAsia" w:ascii="Times New Roman" w:hAnsi="Times New Roman" w:eastAsia="宋体" w:cs="Times New Roman"/>
                <w:color w:val="auto"/>
                <w:sz w:val="21"/>
                <w:highlight w:val="none"/>
                <w:lang w:eastAsia="zh-CN"/>
              </w:rPr>
              <w:t>1</w:t>
            </w:r>
            <w:r>
              <w:rPr>
                <w:rFonts w:ascii="Times New Roman" w:hAnsi="Times New Roman" w:eastAsia="宋体" w:cs="Times New Roman"/>
                <w:color w:val="auto"/>
                <w:sz w:val="21"/>
                <w:highlight w:val="none"/>
              </w:rPr>
              <w:t>±9.37</w:t>
            </w:r>
          </w:p>
        </w:tc>
        <w:tc>
          <w:tcPr>
            <w:tcW w:w="1169" w:type="pct"/>
            <w:tcBorders>
              <w:top w:val="nil"/>
              <w:left w:val="nil"/>
              <w:bottom w:val="nil"/>
              <w:right w:val="nil"/>
            </w:tcBorders>
            <w:tcMar>
              <w:top w:w="23" w:type="dxa"/>
              <w:left w:w="23" w:type="dxa"/>
              <w:bottom w:w="23" w:type="dxa"/>
              <w:right w:w="23" w:type="dxa"/>
            </w:tcMar>
            <w:vAlign w:val="center"/>
          </w:tcPr>
          <w:p w14:paraId="3505616D">
            <w:pPr>
              <w:pStyle w:val="47"/>
              <w:spacing w:line="360" w:lineRule="auto"/>
              <w:rPr>
                <w:rFonts w:ascii="Times New Roman" w:hAnsi="Times New Roman" w:eastAsia="宋体" w:cs="Times New Roman"/>
                <w:color w:val="auto"/>
                <w:sz w:val="21"/>
                <w:highlight w:val="none"/>
              </w:rPr>
            </w:pPr>
            <w:r>
              <w:rPr>
                <w:rFonts w:ascii="Times New Roman" w:hAnsi="Times New Roman" w:eastAsia="宋体" w:cs="Times New Roman"/>
                <w:color w:val="auto"/>
                <w:sz w:val="21"/>
                <w:highlight w:val="none"/>
              </w:rPr>
              <w:t>61.25±8.21</w:t>
            </w:r>
          </w:p>
        </w:tc>
        <w:tc>
          <w:tcPr>
            <w:tcW w:w="537" w:type="pct"/>
            <w:tcBorders>
              <w:top w:val="nil"/>
              <w:left w:val="nil"/>
              <w:bottom w:val="nil"/>
              <w:right w:val="nil"/>
            </w:tcBorders>
            <w:tcMar>
              <w:top w:w="23" w:type="dxa"/>
              <w:left w:w="23" w:type="dxa"/>
              <w:bottom w:w="23" w:type="dxa"/>
              <w:right w:w="23" w:type="dxa"/>
            </w:tcMar>
            <w:vAlign w:val="center"/>
          </w:tcPr>
          <w:p w14:paraId="2A775A3B">
            <w:pPr>
              <w:pStyle w:val="47"/>
              <w:spacing w:line="360" w:lineRule="auto"/>
              <w:rPr>
                <w:rFonts w:hint="default" w:ascii="Times New Roman" w:hAnsi="Times New Roman" w:eastAsia="宋体" w:cs="Times New Roman"/>
                <w:color w:val="auto"/>
                <w:sz w:val="21"/>
                <w:szCs w:val="21"/>
                <w:highlight w:val="none"/>
              </w:rPr>
            </w:pPr>
            <w:r>
              <w:rPr>
                <w:rFonts w:ascii="Times New Roman" w:hAnsi="Times New Roman" w:eastAsia="宋体" w:cs="Times New Roman"/>
                <w:i/>
                <w:color w:val="auto"/>
                <w:sz w:val="21"/>
                <w:szCs w:val="21"/>
                <w:highlight w:val="none"/>
              </w:rPr>
              <w:t>t</w:t>
            </w:r>
            <w:r>
              <w:rPr>
                <w:rFonts w:ascii="Times New Roman" w:hAnsi="Times New Roman" w:eastAsia="宋体" w:cs="Times New Roman"/>
                <w:color w:val="auto"/>
                <w:sz w:val="21"/>
                <w:szCs w:val="21"/>
                <w:highlight w:val="none"/>
              </w:rPr>
              <w:t>=1.4</w:t>
            </w:r>
            <w:r>
              <w:rPr>
                <w:rFonts w:hint="eastAsia" w:ascii="Times New Roman" w:hAnsi="Times New Roman" w:eastAsia="宋体" w:cs="Times New Roman"/>
                <w:color w:val="auto"/>
                <w:sz w:val="21"/>
                <w:szCs w:val="21"/>
                <w:highlight w:val="none"/>
                <w:lang w:eastAsia="zh-CN"/>
              </w:rPr>
              <w:t>5</w:t>
            </w:r>
            <w:r>
              <w:rPr>
                <w:rFonts w:hint="eastAsia" w:ascii="Times New Roman" w:hAnsi="Times New Roman" w:eastAsia="宋体" w:cs="Times New Roman"/>
                <w:color w:val="auto"/>
                <w:sz w:val="21"/>
                <w:szCs w:val="21"/>
                <w:highlight w:val="none"/>
                <w:lang w:val="en-US" w:eastAsia="zh-CN"/>
              </w:rPr>
              <w:t>0</w:t>
            </w:r>
          </w:p>
        </w:tc>
        <w:tc>
          <w:tcPr>
            <w:tcW w:w="355" w:type="pct"/>
            <w:tcBorders>
              <w:top w:val="nil"/>
              <w:left w:val="nil"/>
              <w:bottom w:val="nil"/>
              <w:right w:val="nil"/>
            </w:tcBorders>
            <w:tcMar>
              <w:top w:w="23" w:type="dxa"/>
              <w:left w:w="23" w:type="dxa"/>
              <w:bottom w:w="23" w:type="dxa"/>
              <w:right w:w="23" w:type="dxa"/>
            </w:tcMar>
            <w:vAlign w:val="center"/>
          </w:tcPr>
          <w:p w14:paraId="3FCD55C9">
            <w:pPr>
              <w:pStyle w:val="47"/>
              <w:spacing w:line="360" w:lineRule="auto"/>
              <w:rPr>
                <w:rFonts w:hint="eastAsia"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0.14</w:t>
            </w:r>
            <w:r>
              <w:rPr>
                <w:rFonts w:hint="eastAsia" w:ascii="Times New Roman" w:hAnsi="Times New Roman" w:eastAsia="宋体" w:cs="Times New Roman"/>
                <w:color w:val="auto"/>
                <w:sz w:val="21"/>
                <w:szCs w:val="21"/>
                <w:highlight w:val="none"/>
                <w:lang w:eastAsia="zh-CN"/>
              </w:rPr>
              <w:t>8</w:t>
            </w:r>
          </w:p>
        </w:tc>
      </w:tr>
      <w:tr w14:paraId="096655FE">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7619B883">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体质量指数（kg/m</w:t>
            </w:r>
            <w:r>
              <w:rPr>
                <w:rFonts w:ascii="Times New Roman" w:hAnsi="Times New Roman" w:eastAsia="宋体" w:cs="Times New Roman"/>
                <w:color w:val="auto"/>
                <w:sz w:val="21"/>
                <w:vertAlign w:val="superscript"/>
              </w:rPr>
              <w:t>2</w:t>
            </w:r>
            <w:r>
              <w:rPr>
                <w:rFonts w:ascii="Times New Roman" w:hAnsi="Times New Roman" w:eastAsia="宋体" w:cs="Times New Roman"/>
                <w:color w:val="auto"/>
                <w:sz w:val="21"/>
              </w:rPr>
              <w:t>，</w:t>
            </w:r>
            <w:r>
              <w:rPr>
                <w:rFonts w:ascii="Times New Roman" w:hAnsi="Times New Roman" w:eastAsia="宋体" w:cs="Times New Roman"/>
                <w:color w:val="auto"/>
                <w:position w:val="-6"/>
                <w:sz w:val="21"/>
                <w:szCs w:val="21"/>
              </w:rPr>
              <w:object>
                <v:shape id="_x0000_i1027"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27" DrawAspect="Content" ObjectID="_1468075727" r:id="rId7">
                  <o:LockedField>false</o:LockedField>
                </o:OLEObject>
              </w:object>
            </w:r>
            <w:r>
              <w:rPr>
                <w:rFonts w:ascii="Times New Roman" w:hAnsi="Times New Roman" w:eastAsia="宋体" w:cs="Times New Roman"/>
                <w:color w:val="auto"/>
                <w:sz w:val="21"/>
              </w:rPr>
              <w:t>）</w:t>
            </w:r>
          </w:p>
        </w:tc>
        <w:tc>
          <w:tcPr>
            <w:tcW w:w="1170" w:type="pct"/>
            <w:tcBorders>
              <w:top w:val="nil"/>
              <w:left w:val="nil"/>
              <w:bottom w:val="nil"/>
              <w:right w:val="nil"/>
            </w:tcBorders>
            <w:tcMar>
              <w:top w:w="23" w:type="dxa"/>
              <w:left w:w="23" w:type="dxa"/>
              <w:bottom w:w="23" w:type="dxa"/>
              <w:right w:w="23" w:type="dxa"/>
            </w:tcMar>
            <w:vAlign w:val="center"/>
          </w:tcPr>
          <w:p w14:paraId="53C8777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24.34±2.29</w:t>
            </w:r>
          </w:p>
        </w:tc>
        <w:tc>
          <w:tcPr>
            <w:tcW w:w="1169" w:type="pct"/>
            <w:tcBorders>
              <w:top w:val="nil"/>
              <w:left w:val="nil"/>
              <w:bottom w:val="nil"/>
              <w:right w:val="nil"/>
            </w:tcBorders>
            <w:tcMar>
              <w:top w:w="23" w:type="dxa"/>
              <w:left w:w="23" w:type="dxa"/>
              <w:bottom w:w="23" w:type="dxa"/>
              <w:right w:w="23" w:type="dxa"/>
            </w:tcMar>
            <w:vAlign w:val="center"/>
          </w:tcPr>
          <w:p w14:paraId="4C9C166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24.11±1.85</w:t>
            </w:r>
          </w:p>
        </w:tc>
        <w:tc>
          <w:tcPr>
            <w:tcW w:w="537" w:type="pct"/>
            <w:tcBorders>
              <w:top w:val="nil"/>
              <w:left w:val="nil"/>
              <w:bottom w:val="nil"/>
              <w:right w:val="nil"/>
            </w:tcBorders>
            <w:tcMar>
              <w:top w:w="23" w:type="dxa"/>
              <w:left w:w="23" w:type="dxa"/>
              <w:bottom w:w="23" w:type="dxa"/>
              <w:right w:w="23" w:type="dxa"/>
            </w:tcMar>
            <w:vAlign w:val="center"/>
          </w:tcPr>
          <w:p w14:paraId="1B1539A7">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i/>
                <w:color w:val="auto"/>
                <w:sz w:val="21"/>
                <w:szCs w:val="21"/>
              </w:rPr>
              <w:t>t</w:t>
            </w:r>
            <w:r>
              <w:rPr>
                <w:rFonts w:ascii="Times New Roman" w:hAnsi="Times New Roman" w:eastAsia="宋体" w:cs="Times New Roman"/>
                <w:color w:val="auto"/>
                <w:sz w:val="21"/>
                <w:szCs w:val="21"/>
                <w:vertAlign w:val="subscript"/>
              </w:rPr>
              <w:t xml:space="preserve"> </w:t>
            </w:r>
            <w:r>
              <w:rPr>
                <w:rFonts w:ascii="Times New Roman" w:hAnsi="Times New Roman" w:eastAsia="宋体" w:cs="Times New Roman"/>
                <w:color w:val="auto"/>
                <w:sz w:val="21"/>
                <w:szCs w:val="21"/>
              </w:rPr>
              <w:t>=0.904</w:t>
            </w:r>
          </w:p>
        </w:tc>
        <w:tc>
          <w:tcPr>
            <w:tcW w:w="355" w:type="pct"/>
            <w:tcBorders>
              <w:top w:val="nil"/>
              <w:left w:val="nil"/>
              <w:bottom w:val="nil"/>
              <w:right w:val="nil"/>
            </w:tcBorders>
            <w:tcMar>
              <w:top w:w="23" w:type="dxa"/>
              <w:left w:w="23" w:type="dxa"/>
              <w:bottom w:w="23" w:type="dxa"/>
              <w:right w:w="23" w:type="dxa"/>
            </w:tcMar>
            <w:vAlign w:val="center"/>
          </w:tcPr>
          <w:p w14:paraId="18517E48">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0.367</w:t>
            </w:r>
          </w:p>
        </w:tc>
      </w:tr>
      <w:tr w14:paraId="33C928E9">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35FDAFD7">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高血压病程[年，</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170" w:type="pct"/>
            <w:tcBorders>
              <w:top w:val="nil"/>
              <w:left w:val="nil"/>
              <w:bottom w:val="nil"/>
              <w:right w:val="nil"/>
            </w:tcBorders>
            <w:tcMar>
              <w:top w:w="23" w:type="dxa"/>
              <w:left w:w="23" w:type="dxa"/>
              <w:bottom w:w="23" w:type="dxa"/>
              <w:right w:w="23" w:type="dxa"/>
            </w:tcMar>
            <w:vAlign w:val="center"/>
          </w:tcPr>
          <w:p w14:paraId="604F984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13.00（8.00，18.00）</w:t>
            </w:r>
          </w:p>
        </w:tc>
        <w:tc>
          <w:tcPr>
            <w:tcW w:w="1169" w:type="pct"/>
            <w:tcBorders>
              <w:top w:val="nil"/>
              <w:left w:val="nil"/>
              <w:bottom w:val="nil"/>
              <w:right w:val="nil"/>
            </w:tcBorders>
            <w:tcMar>
              <w:top w:w="23" w:type="dxa"/>
              <w:left w:w="23" w:type="dxa"/>
              <w:bottom w:w="23" w:type="dxa"/>
              <w:right w:w="23" w:type="dxa"/>
            </w:tcMar>
            <w:vAlign w:val="center"/>
          </w:tcPr>
          <w:p w14:paraId="6891DF71">
            <w:pPr>
              <w:pStyle w:val="47"/>
              <w:spacing w:line="360" w:lineRule="auto"/>
              <w:rPr>
                <w:rFonts w:ascii="Times New Roman" w:hAnsi="Times New Roman" w:eastAsia="宋体" w:cs="Times New Roman"/>
                <w:color w:val="auto"/>
                <w:sz w:val="21"/>
              </w:rPr>
            </w:pPr>
            <w:r>
              <w:rPr>
                <w:rFonts w:hint="eastAsia" w:eastAsia="宋体" w:cs="宋体"/>
                <w:color w:val="auto"/>
                <w:sz w:val="21"/>
              </w:rPr>
              <w:t>-</w:t>
            </w:r>
          </w:p>
        </w:tc>
        <w:tc>
          <w:tcPr>
            <w:tcW w:w="537" w:type="pct"/>
            <w:tcBorders>
              <w:top w:val="nil"/>
              <w:left w:val="nil"/>
              <w:bottom w:val="nil"/>
              <w:right w:val="nil"/>
            </w:tcBorders>
            <w:tcMar>
              <w:top w:w="23" w:type="dxa"/>
              <w:left w:w="23" w:type="dxa"/>
              <w:bottom w:w="23" w:type="dxa"/>
              <w:right w:w="23" w:type="dxa"/>
            </w:tcMar>
            <w:vAlign w:val="center"/>
          </w:tcPr>
          <w:p w14:paraId="3F35D15C">
            <w:pPr>
              <w:pStyle w:val="47"/>
              <w:spacing w:line="360" w:lineRule="auto"/>
              <w:rPr>
                <w:rFonts w:ascii="Times New Roman" w:hAnsi="Times New Roman" w:eastAsia="宋体" w:cs="Times New Roman"/>
                <w:color w:val="auto"/>
                <w:sz w:val="21"/>
                <w:szCs w:val="21"/>
              </w:rPr>
            </w:pPr>
          </w:p>
        </w:tc>
        <w:tc>
          <w:tcPr>
            <w:tcW w:w="355" w:type="pct"/>
            <w:tcBorders>
              <w:top w:val="nil"/>
              <w:left w:val="nil"/>
              <w:bottom w:val="nil"/>
              <w:right w:val="nil"/>
            </w:tcBorders>
            <w:tcMar>
              <w:top w:w="23" w:type="dxa"/>
              <w:left w:w="23" w:type="dxa"/>
              <w:bottom w:w="23" w:type="dxa"/>
              <w:right w:w="23" w:type="dxa"/>
            </w:tcMar>
            <w:vAlign w:val="center"/>
          </w:tcPr>
          <w:p w14:paraId="0EAD9210">
            <w:pPr>
              <w:pStyle w:val="47"/>
              <w:spacing w:line="360" w:lineRule="auto"/>
              <w:rPr>
                <w:rFonts w:ascii="Times New Roman" w:hAnsi="Times New Roman" w:eastAsia="宋体" w:cs="Times New Roman"/>
                <w:color w:val="auto"/>
                <w:sz w:val="21"/>
                <w:szCs w:val="21"/>
              </w:rPr>
            </w:pPr>
          </w:p>
        </w:tc>
      </w:tr>
      <w:tr w14:paraId="03A9FD1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473335DB">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烟酒嗜好[例（%）]</w:t>
            </w:r>
          </w:p>
        </w:tc>
        <w:tc>
          <w:tcPr>
            <w:tcW w:w="1170" w:type="pct"/>
            <w:tcBorders>
              <w:top w:val="nil"/>
              <w:left w:val="nil"/>
              <w:bottom w:val="nil"/>
              <w:right w:val="nil"/>
            </w:tcBorders>
            <w:tcMar>
              <w:top w:w="23" w:type="dxa"/>
              <w:left w:w="23" w:type="dxa"/>
              <w:bottom w:w="23" w:type="dxa"/>
              <w:right w:w="23" w:type="dxa"/>
            </w:tcMar>
            <w:vAlign w:val="center"/>
          </w:tcPr>
          <w:p w14:paraId="12A5E9C7">
            <w:pPr>
              <w:pStyle w:val="47"/>
              <w:spacing w:line="360" w:lineRule="auto"/>
              <w:rPr>
                <w:rFonts w:ascii="Times New Roman" w:hAnsi="Times New Roman" w:eastAsia="宋体" w:cs="Times New Roman"/>
                <w:color w:val="auto"/>
                <w:sz w:val="21"/>
              </w:rPr>
            </w:pPr>
          </w:p>
        </w:tc>
        <w:tc>
          <w:tcPr>
            <w:tcW w:w="1169" w:type="pct"/>
            <w:tcBorders>
              <w:top w:val="nil"/>
              <w:left w:val="nil"/>
              <w:bottom w:val="nil"/>
              <w:right w:val="nil"/>
            </w:tcBorders>
            <w:tcMar>
              <w:top w:w="23" w:type="dxa"/>
              <w:left w:w="23" w:type="dxa"/>
              <w:bottom w:w="23" w:type="dxa"/>
              <w:right w:w="23" w:type="dxa"/>
            </w:tcMar>
            <w:vAlign w:val="center"/>
          </w:tcPr>
          <w:p w14:paraId="02063B42">
            <w:pPr>
              <w:pStyle w:val="47"/>
              <w:spacing w:line="360" w:lineRule="auto"/>
              <w:rPr>
                <w:rFonts w:ascii="Times New Roman" w:hAnsi="Times New Roman" w:eastAsia="宋体" w:cs="Times New Roman"/>
                <w:color w:val="auto"/>
                <w:sz w:val="21"/>
              </w:rPr>
            </w:pPr>
          </w:p>
        </w:tc>
        <w:tc>
          <w:tcPr>
            <w:tcW w:w="537" w:type="pct"/>
            <w:tcBorders>
              <w:top w:val="nil"/>
              <w:left w:val="nil"/>
              <w:bottom w:val="nil"/>
              <w:right w:val="nil"/>
            </w:tcBorders>
            <w:tcMar>
              <w:top w:w="23" w:type="dxa"/>
              <w:left w:w="23" w:type="dxa"/>
              <w:bottom w:w="23" w:type="dxa"/>
              <w:right w:w="23" w:type="dxa"/>
            </w:tcMar>
            <w:vAlign w:val="center"/>
          </w:tcPr>
          <w:p w14:paraId="441BFCC9">
            <w:pPr>
              <w:pStyle w:val="47"/>
              <w:spacing w:line="360" w:lineRule="auto"/>
              <w:rPr>
                <w:rFonts w:ascii="Times New Roman" w:hAnsi="Times New Roman" w:eastAsia="宋体" w:cs="Times New Roman"/>
                <w:color w:val="auto"/>
                <w:sz w:val="21"/>
                <w:szCs w:val="21"/>
              </w:rPr>
            </w:pPr>
          </w:p>
        </w:tc>
        <w:tc>
          <w:tcPr>
            <w:tcW w:w="355" w:type="pct"/>
            <w:tcBorders>
              <w:top w:val="nil"/>
              <w:left w:val="nil"/>
              <w:bottom w:val="nil"/>
              <w:right w:val="nil"/>
            </w:tcBorders>
            <w:tcMar>
              <w:top w:w="23" w:type="dxa"/>
              <w:left w:w="23" w:type="dxa"/>
              <w:bottom w:w="23" w:type="dxa"/>
              <w:right w:w="23" w:type="dxa"/>
            </w:tcMar>
            <w:vAlign w:val="center"/>
          </w:tcPr>
          <w:p w14:paraId="00BD9281">
            <w:pPr>
              <w:pStyle w:val="47"/>
              <w:spacing w:line="360" w:lineRule="auto"/>
              <w:rPr>
                <w:rFonts w:ascii="Times New Roman" w:hAnsi="Times New Roman" w:eastAsia="宋体" w:cs="Times New Roman"/>
                <w:color w:val="auto"/>
                <w:sz w:val="21"/>
                <w:szCs w:val="21"/>
              </w:rPr>
            </w:pPr>
          </w:p>
        </w:tc>
      </w:tr>
      <w:tr w14:paraId="261F63D8">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1F5FACCE">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饮酒</w:t>
            </w:r>
          </w:p>
        </w:tc>
        <w:tc>
          <w:tcPr>
            <w:tcW w:w="1170" w:type="pct"/>
            <w:tcBorders>
              <w:top w:val="nil"/>
              <w:left w:val="nil"/>
              <w:bottom w:val="nil"/>
              <w:right w:val="nil"/>
            </w:tcBorders>
            <w:tcMar>
              <w:top w:w="23" w:type="dxa"/>
              <w:left w:w="23" w:type="dxa"/>
              <w:bottom w:w="23" w:type="dxa"/>
              <w:right w:w="23" w:type="dxa"/>
            </w:tcMar>
            <w:vAlign w:val="center"/>
          </w:tcPr>
          <w:p w14:paraId="3475219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56（41.79）</w:t>
            </w:r>
          </w:p>
        </w:tc>
        <w:tc>
          <w:tcPr>
            <w:tcW w:w="1169" w:type="pct"/>
            <w:tcBorders>
              <w:top w:val="nil"/>
              <w:left w:val="nil"/>
              <w:bottom w:val="nil"/>
              <w:right w:val="nil"/>
            </w:tcBorders>
            <w:tcMar>
              <w:top w:w="23" w:type="dxa"/>
              <w:left w:w="23" w:type="dxa"/>
              <w:bottom w:w="23" w:type="dxa"/>
              <w:right w:w="23" w:type="dxa"/>
            </w:tcMar>
            <w:vAlign w:val="center"/>
          </w:tcPr>
          <w:p w14:paraId="0C95A38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50（37.31）</w:t>
            </w:r>
          </w:p>
        </w:tc>
        <w:tc>
          <w:tcPr>
            <w:tcW w:w="537" w:type="pct"/>
            <w:tcBorders>
              <w:top w:val="nil"/>
              <w:left w:val="nil"/>
              <w:bottom w:val="nil"/>
              <w:right w:val="nil"/>
            </w:tcBorders>
            <w:tcMar>
              <w:top w:w="23" w:type="dxa"/>
              <w:left w:w="23" w:type="dxa"/>
              <w:bottom w:w="23" w:type="dxa"/>
              <w:right w:w="23" w:type="dxa"/>
            </w:tcMar>
            <w:vAlign w:val="center"/>
          </w:tcPr>
          <w:p w14:paraId="63AE2796">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=0.562</w:t>
            </w:r>
          </w:p>
        </w:tc>
        <w:tc>
          <w:tcPr>
            <w:tcW w:w="355" w:type="pct"/>
            <w:tcBorders>
              <w:top w:val="nil"/>
              <w:left w:val="nil"/>
              <w:bottom w:val="nil"/>
              <w:right w:val="nil"/>
            </w:tcBorders>
            <w:tcMar>
              <w:top w:w="23" w:type="dxa"/>
              <w:left w:w="23" w:type="dxa"/>
              <w:bottom w:w="23" w:type="dxa"/>
              <w:right w:w="23" w:type="dxa"/>
            </w:tcMar>
            <w:vAlign w:val="center"/>
          </w:tcPr>
          <w:p w14:paraId="2B318746">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0.454</w:t>
            </w:r>
          </w:p>
        </w:tc>
      </w:tr>
      <w:tr w14:paraId="7E2F249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4E82008D">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吸烟</w:t>
            </w:r>
          </w:p>
        </w:tc>
        <w:tc>
          <w:tcPr>
            <w:tcW w:w="1170" w:type="pct"/>
            <w:tcBorders>
              <w:top w:val="nil"/>
              <w:left w:val="nil"/>
              <w:bottom w:val="nil"/>
              <w:right w:val="nil"/>
            </w:tcBorders>
            <w:tcMar>
              <w:top w:w="23" w:type="dxa"/>
              <w:left w:w="23" w:type="dxa"/>
              <w:bottom w:w="23" w:type="dxa"/>
              <w:right w:w="23" w:type="dxa"/>
            </w:tcMar>
            <w:vAlign w:val="center"/>
          </w:tcPr>
          <w:p w14:paraId="6C5BF42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40（29.85）</w:t>
            </w:r>
          </w:p>
        </w:tc>
        <w:tc>
          <w:tcPr>
            <w:tcW w:w="1169" w:type="pct"/>
            <w:tcBorders>
              <w:top w:val="nil"/>
              <w:left w:val="nil"/>
              <w:bottom w:val="nil"/>
              <w:right w:val="nil"/>
            </w:tcBorders>
            <w:tcMar>
              <w:top w:w="23" w:type="dxa"/>
              <w:left w:w="23" w:type="dxa"/>
              <w:bottom w:w="23" w:type="dxa"/>
              <w:right w:w="23" w:type="dxa"/>
            </w:tcMar>
            <w:vAlign w:val="center"/>
          </w:tcPr>
          <w:p w14:paraId="1EB2F26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33（24.63）</w:t>
            </w:r>
          </w:p>
        </w:tc>
        <w:tc>
          <w:tcPr>
            <w:tcW w:w="537" w:type="pct"/>
            <w:tcBorders>
              <w:top w:val="nil"/>
              <w:left w:val="nil"/>
              <w:bottom w:val="nil"/>
              <w:right w:val="nil"/>
            </w:tcBorders>
            <w:tcMar>
              <w:top w:w="23" w:type="dxa"/>
              <w:left w:w="23" w:type="dxa"/>
              <w:bottom w:w="23" w:type="dxa"/>
              <w:right w:w="23" w:type="dxa"/>
            </w:tcMar>
            <w:vAlign w:val="center"/>
          </w:tcPr>
          <w:p w14:paraId="52096EA5">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=0.923</w:t>
            </w:r>
          </w:p>
        </w:tc>
        <w:tc>
          <w:tcPr>
            <w:tcW w:w="355" w:type="pct"/>
            <w:tcBorders>
              <w:top w:val="nil"/>
              <w:left w:val="nil"/>
              <w:bottom w:val="nil"/>
              <w:right w:val="nil"/>
            </w:tcBorders>
            <w:tcMar>
              <w:top w:w="23" w:type="dxa"/>
              <w:left w:w="23" w:type="dxa"/>
              <w:bottom w:w="23" w:type="dxa"/>
              <w:right w:w="23" w:type="dxa"/>
            </w:tcMar>
            <w:vAlign w:val="center"/>
          </w:tcPr>
          <w:p w14:paraId="4EE69000">
            <w:pPr>
              <w:pStyle w:val="47"/>
              <w:spacing w:line="36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0.337</w:t>
            </w:r>
          </w:p>
        </w:tc>
      </w:tr>
      <w:tr w14:paraId="5907CF12">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1DF4CA0F">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出血部位[例（%）]</w:t>
            </w:r>
          </w:p>
        </w:tc>
        <w:tc>
          <w:tcPr>
            <w:tcW w:w="1170" w:type="pct"/>
            <w:tcBorders>
              <w:top w:val="nil"/>
              <w:left w:val="nil"/>
              <w:bottom w:val="nil"/>
              <w:right w:val="nil"/>
            </w:tcBorders>
            <w:tcMar>
              <w:top w:w="23" w:type="dxa"/>
              <w:left w:w="23" w:type="dxa"/>
              <w:bottom w:w="23" w:type="dxa"/>
              <w:right w:w="23" w:type="dxa"/>
            </w:tcMar>
            <w:vAlign w:val="center"/>
          </w:tcPr>
          <w:p w14:paraId="52F8614A">
            <w:pPr>
              <w:pStyle w:val="47"/>
              <w:spacing w:line="360" w:lineRule="auto"/>
              <w:rPr>
                <w:rFonts w:ascii="Times New Roman" w:hAnsi="Times New Roman" w:eastAsia="宋体" w:cs="Times New Roman"/>
                <w:color w:val="auto"/>
                <w:sz w:val="21"/>
              </w:rPr>
            </w:pPr>
          </w:p>
        </w:tc>
        <w:tc>
          <w:tcPr>
            <w:tcW w:w="1169" w:type="pct"/>
            <w:tcBorders>
              <w:top w:val="nil"/>
              <w:left w:val="nil"/>
              <w:bottom w:val="nil"/>
              <w:right w:val="nil"/>
            </w:tcBorders>
            <w:tcMar>
              <w:top w:w="23" w:type="dxa"/>
              <w:left w:w="23" w:type="dxa"/>
              <w:bottom w:w="23" w:type="dxa"/>
              <w:right w:w="23" w:type="dxa"/>
            </w:tcMar>
            <w:vAlign w:val="center"/>
          </w:tcPr>
          <w:p w14:paraId="1DB9246F">
            <w:pPr>
              <w:pStyle w:val="47"/>
              <w:spacing w:line="360" w:lineRule="auto"/>
              <w:rPr>
                <w:rFonts w:ascii="Times New Roman" w:hAnsi="Times New Roman" w:eastAsia="宋体" w:cs="Times New Roman"/>
                <w:color w:val="auto"/>
                <w:sz w:val="21"/>
              </w:rPr>
            </w:pPr>
          </w:p>
        </w:tc>
        <w:tc>
          <w:tcPr>
            <w:tcW w:w="537" w:type="pct"/>
            <w:tcBorders>
              <w:top w:val="nil"/>
              <w:left w:val="nil"/>
              <w:bottom w:val="nil"/>
              <w:right w:val="nil"/>
            </w:tcBorders>
            <w:tcMar>
              <w:top w:w="23" w:type="dxa"/>
              <w:left w:w="23" w:type="dxa"/>
              <w:bottom w:w="23" w:type="dxa"/>
              <w:right w:w="23" w:type="dxa"/>
            </w:tcMar>
            <w:vAlign w:val="center"/>
          </w:tcPr>
          <w:p w14:paraId="62B773EA">
            <w:pPr>
              <w:pStyle w:val="47"/>
              <w:spacing w:line="360" w:lineRule="auto"/>
              <w:rPr>
                <w:rFonts w:ascii="Times New Roman" w:hAnsi="Times New Roman" w:eastAsia="宋体" w:cs="Times New Roman"/>
                <w:color w:val="auto"/>
                <w:sz w:val="21"/>
              </w:rPr>
            </w:pPr>
          </w:p>
        </w:tc>
        <w:tc>
          <w:tcPr>
            <w:tcW w:w="355" w:type="pct"/>
            <w:tcBorders>
              <w:top w:val="nil"/>
              <w:left w:val="nil"/>
              <w:bottom w:val="nil"/>
              <w:right w:val="nil"/>
            </w:tcBorders>
            <w:tcMar>
              <w:top w:w="23" w:type="dxa"/>
              <w:left w:w="23" w:type="dxa"/>
              <w:bottom w:w="23" w:type="dxa"/>
              <w:right w:w="23" w:type="dxa"/>
            </w:tcMar>
            <w:vAlign w:val="center"/>
          </w:tcPr>
          <w:p w14:paraId="32E6BDB0">
            <w:pPr>
              <w:pStyle w:val="47"/>
              <w:spacing w:line="360" w:lineRule="auto"/>
              <w:rPr>
                <w:rFonts w:ascii="Times New Roman" w:hAnsi="Times New Roman" w:eastAsia="宋体" w:cs="Times New Roman"/>
                <w:color w:val="auto"/>
                <w:sz w:val="21"/>
              </w:rPr>
            </w:pPr>
          </w:p>
        </w:tc>
      </w:tr>
      <w:tr w14:paraId="47A60FAE">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515A477A">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脑干</w:t>
            </w:r>
          </w:p>
        </w:tc>
        <w:tc>
          <w:tcPr>
            <w:tcW w:w="1170" w:type="pct"/>
            <w:tcBorders>
              <w:top w:val="nil"/>
              <w:left w:val="nil"/>
              <w:bottom w:val="nil"/>
              <w:right w:val="nil"/>
            </w:tcBorders>
            <w:tcMar>
              <w:top w:w="23" w:type="dxa"/>
              <w:left w:w="23" w:type="dxa"/>
              <w:bottom w:w="23" w:type="dxa"/>
              <w:right w:w="23" w:type="dxa"/>
            </w:tcMar>
            <w:vAlign w:val="center"/>
          </w:tcPr>
          <w:p w14:paraId="0F74FFB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8（5.97）</w:t>
            </w:r>
          </w:p>
        </w:tc>
        <w:tc>
          <w:tcPr>
            <w:tcW w:w="1169" w:type="pct"/>
            <w:tcBorders>
              <w:top w:val="nil"/>
              <w:left w:val="nil"/>
              <w:bottom w:val="nil"/>
              <w:right w:val="nil"/>
            </w:tcBorders>
            <w:tcMar>
              <w:top w:w="23" w:type="dxa"/>
              <w:left w:w="23" w:type="dxa"/>
              <w:bottom w:w="23" w:type="dxa"/>
              <w:right w:w="23" w:type="dxa"/>
            </w:tcMar>
            <w:vAlign w:val="center"/>
          </w:tcPr>
          <w:p w14:paraId="1683EF7F">
            <w:pPr>
              <w:pStyle w:val="47"/>
              <w:spacing w:line="360" w:lineRule="auto"/>
              <w:rPr>
                <w:rFonts w:eastAsia="宋体" w:cs="宋体"/>
                <w:color w:val="auto"/>
                <w:sz w:val="21"/>
              </w:rPr>
            </w:pPr>
            <w:r>
              <w:rPr>
                <w:rFonts w:hint="eastAsia" w:eastAsia="宋体" w:cs="宋体"/>
                <w:color w:val="auto"/>
                <w:sz w:val="21"/>
              </w:rPr>
              <w:t>-</w:t>
            </w:r>
          </w:p>
        </w:tc>
        <w:tc>
          <w:tcPr>
            <w:tcW w:w="537" w:type="pct"/>
            <w:tcBorders>
              <w:top w:val="nil"/>
              <w:left w:val="nil"/>
              <w:bottom w:val="nil"/>
              <w:right w:val="nil"/>
            </w:tcBorders>
            <w:tcMar>
              <w:top w:w="23" w:type="dxa"/>
              <w:left w:w="23" w:type="dxa"/>
              <w:bottom w:w="23" w:type="dxa"/>
              <w:right w:w="23" w:type="dxa"/>
            </w:tcMar>
            <w:vAlign w:val="center"/>
          </w:tcPr>
          <w:p w14:paraId="5E879BF3">
            <w:pPr>
              <w:pStyle w:val="47"/>
              <w:spacing w:line="360" w:lineRule="auto"/>
              <w:rPr>
                <w:rFonts w:ascii="Times New Roman" w:hAnsi="Times New Roman" w:eastAsia="宋体" w:cs="Times New Roman"/>
                <w:color w:val="auto"/>
                <w:sz w:val="21"/>
              </w:rPr>
            </w:pPr>
          </w:p>
        </w:tc>
        <w:tc>
          <w:tcPr>
            <w:tcW w:w="355" w:type="pct"/>
            <w:tcBorders>
              <w:top w:val="nil"/>
              <w:left w:val="nil"/>
              <w:bottom w:val="nil"/>
              <w:right w:val="nil"/>
            </w:tcBorders>
            <w:tcMar>
              <w:top w:w="23" w:type="dxa"/>
              <w:left w:w="23" w:type="dxa"/>
              <w:bottom w:w="23" w:type="dxa"/>
              <w:right w:w="23" w:type="dxa"/>
            </w:tcMar>
            <w:vAlign w:val="center"/>
          </w:tcPr>
          <w:p w14:paraId="137697B1">
            <w:pPr>
              <w:pStyle w:val="47"/>
              <w:spacing w:line="360" w:lineRule="auto"/>
              <w:rPr>
                <w:rFonts w:ascii="Times New Roman" w:hAnsi="Times New Roman" w:eastAsia="宋体" w:cs="Times New Roman"/>
                <w:color w:val="auto"/>
                <w:sz w:val="21"/>
              </w:rPr>
            </w:pPr>
          </w:p>
        </w:tc>
      </w:tr>
      <w:tr w14:paraId="5E3D798E">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67B8EF0C">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小脑</w:t>
            </w:r>
          </w:p>
        </w:tc>
        <w:tc>
          <w:tcPr>
            <w:tcW w:w="1170" w:type="pct"/>
            <w:tcBorders>
              <w:top w:val="nil"/>
              <w:left w:val="nil"/>
              <w:bottom w:val="nil"/>
              <w:right w:val="nil"/>
            </w:tcBorders>
            <w:tcMar>
              <w:top w:w="23" w:type="dxa"/>
              <w:left w:w="23" w:type="dxa"/>
              <w:bottom w:w="23" w:type="dxa"/>
              <w:right w:w="23" w:type="dxa"/>
            </w:tcMar>
            <w:vAlign w:val="center"/>
          </w:tcPr>
          <w:p w14:paraId="3CB7815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17（12.69）</w:t>
            </w:r>
          </w:p>
        </w:tc>
        <w:tc>
          <w:tcPr>
            <w:tcW w:w="1169" w:type="pct"/>
            <w:tcBorders>
              <w:top w:val="nil"/>
              <w:left w:val="nil"/>
              <w:bottom w:val="nil"/>
              <w:right w:val="nil"/>
            </w:tcBorders>
            <w:tcMar>
              <w:top w:w="23" w:type="dxa"/>
              <w:left w:w="23" w:type="dxa"/>
              <w:bottom w:w="23" w:type="dxa"/>
              <w:right w:w="23" w:type="dxa"/>
            </w:tcMar>
            <w:vAlign w:val="center"/>
          </w:tcPr>
          <w:p w14:paraId="66EABD1A">
            <w:pPr>
              <w:pStyle w:val="47"/>
              <w:spacing w:line="360" w:lineRule="auto"/>
              <w:rPr>
                <w:rFonts w:eastAsia="宋体" w:cs="宋体"/>
                <w:color w:val="auto"/>
                <w:sz w:val="21"/>
              </w:rPr>
            </w:pPr>
            <w:r>
              <w:rPr>
                <w:rFonts w:hint="eastAsia" w:eastAsia="宋体" w:cs="宋体"/>
                <w:color w:val="auto"/>
                <w:sz w:val="21"/>
              </w:rPr>
              <w:t>-</w:t>
            </w:r>
          </w:p>
        </w:tc>
        <w:tc>
          <w:tcPr>
            <w:tcW w:w="537" w:type="pct"/>
            <w:tcBorders>
              <w:top w:val="nil"/>
              <w:left w:val="nil"/>
              <w:bottom w:val="nil"/>
              <w:right w:val="nil"/>
            </w:tcBorders>
            <w:tcMar>
              <w:top w:w="23" w:type="dxa"/>
              <w:left w:w="23" w:type="dxa"/>
              <w:bottom w:w="23" w:type="dxa"/>
              <w:right w:w="23" w:type="dxa"/>
            </w:tcMar>
            <w:vAlign w:val="center"/>
          </w:tcPr>
          <w:p w14:paraId="566572FF">
            <w:pPr>
              <w:pStyle w:val="47"/>
              <w:spacing w:line="360" w:lineRule="auto"/>
              <w:rPr>
                <w:rFonts w:ascii="Times New Roman" w:hAnsi="Times New Roman" w:eastAsia="宋体" w:cs="Times New Roman"/>
                <w:color w:val="auto"/>
                <w:sz w:val="21"/>
              </w:rPr>
            </w:pPr>
          </w:p>
        </w:tc>
        <w:tc>
          <w:tcPr>
            <w:tcW w:w="355" w:type="pct"/>
            <w:tcBorders>
              <w:top w:val="nil"/>
              <w:left w:val="nil"/>
              <w:bottom w:val="nil"/>
              <w:right w:val="nil"/>
            </w:tcBorders>
            <w:tcMar>
              <w:top w:w="23" w:type="dxa"/>
              <w:left w:w="23" w:type="dxa"/>
              <w:bottom w:w="23" w:type="dxa"/>
              <w:right w:w="23" w:type="dxa"/>
            </w:tcMar>
            <w:vAlign w:val="center"/>
          </w:tcPr>
          <w:p w14:paraId="0CF997B4">
            <w:pPr>
              <w:pStyle w:val="47"/>
              <w:spacing w:line="360" w:lineRule="auto"/>
              <w:rPr>
                <w:rFonts w:ascii="Times New Roman" w:hAnsi="Times New Roman" w:eastAsia="宋体" w:cs="Times New Roman"/>
                <w:color w:val="auto"/>
                <w:sz w:val="21"/>
              </w:rPr>
            </w:pPr>
          </w:p>
        </w:tc>
      </w:tr>
      <w:tr w14:paraId="73C7D2AF">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7567527D">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脑室</w:t>
            </w:r>
          </w:p>
        </w:tc>
        <w:tc>
          <w:tcPr>
            <w:tcW w:w="1170" w:type="pct"/>
            <w:tcBorders>
              <w:top w:val="nil"/>
              <w:left w:val="nil"/>
              <w:bottom w:val="nil"/>
              <w:right w:val="nil"/>
            </w:tcBorders>
            <w:tcMar>
              <w:top w:w="23" w:type="dxa"/>
              <w:left w:w="23" w:type="dxa"/>
              <w:bottom w:w="23" w:type="dxa"/>
              <w:right w:w="23" w:type="dxa"/>
            </w:tcMar>
            <w:vAlign w:val="center"/>
          </w:tcPr>
          <w:p w14:paraId="17D46D6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15（11.19）</w:t>
            </w:r>
          </w:p>
        </w:tc>
        <w:tc>
          <w:tcPr>
            <w:tcW w:w="1169" w:type="pct"/>
            <w:tcBorders>
              <w:top w:val="nil"/>
              <w:left w:val="nil"/>
              <w:bottom w:val="nil"/>
              <w:right w:val="nil"/>
            </w:tcBorders>
            <w:tcMar>
              <w:top w:w="23" w:type="dxa"/>
              <w:left w:w="23" w:type="dxa"/>
              <w:bottom w:w="23" w:type="dxa"/>
              <w:right w:w="23" w:type="dxa"/>
            </w:tcMar>
            <w:vAlign w:val="center"/>
          </w:tcPr>
          <w:p w14:paraId="4B76337B">
            <w:pPr>
              <w:pStyle w:val="47"/>
              <w:spacing w:line="360" w:lineRule="auto"/>
              <w:rPr>
                <w:rFonts w:eastAsia="宋体" w:cs="宋体"/>
                <w:color w:val="auto"/>
                <w:sz w:val="21"/>
              </w:rPr>
            </w:pPr>
            <w:r>
              <w:rPr>
                <w:rFonts w:hint="eastAsia" w:eastAsia="宋体" w:cs="宋体"/>
                <w:color w:val="auto"/>
                <w:sz w:val="21"/>
              </w:rPr>
              <w:t>-</w:t>
            </w:r>
          </w:p>
        </w:tc>
        <w:tc>
          <w:tcPr>
            <w:tcW w:w="537" w:type="pct"/>
            <w:tcBorders>
              <w:top w:val="nil"/>
              <w:left w:val="nil"/>
              <w:bottom w:val="nil"/>
              <w:right w:val="nil"/>
            </w:tcBorders>
            <w:tcMar>
              <w:top w:w="23" w:type="dxa"/>
              <w:left w:w="23" w:type="dxa"/>
              <w:bottom w:w="23" w:type="dxa"/>
              <w:right w:w="23" w:type="dxa"/>
            </w:tcMar>
            <w:vAlign w:val="center"/>
          </w:tcPr>
          <w:p w14:paraId="10A1C376">
            <w:pPr>
              <w:pStyle w:val="47"/>
              <w:spacing w:line="360" w:lineRule="auto"/>
              <w:rPr>
                <w:rFonts w:ascii="Times New Roman" w:hAnsi="Times New Roman" w:eastAsia="宋体" w:cs="Times New Roman"/>
                <w:color w:val="auto"/>
                <w:sz w:val="21"/>
              </w:rPr>
            </w:pPr>
          </w:p>
        </w:tc>
        <w:tc>
          <w:tcPr>
            <w:tcW w:w="355" w:type="pct"/>
            <w:tcBorders>
              <w:top w:val="nil"/>
              <w:left w:val="nil"/>
              <w:bottom w:val="nil"/>
              <w:right w:val="nil"/>
            </w:tcBorders>
            <w:tcMar>
              <w:top w:w="23" w:type="dxa"/>
              <w:left w:w="23" w:type="dxa"/>
              <w:bottom w:w="23" w:type="dxa"/>
              <w:right w:w="23" w:type="dxa"/>
            </w:tcMar>
            <w:vAlign w:val="center"/>
          </w:tcPr>
          <w:p w14:paraId="28D44E2D">
            <w:pPr>
              <w:pStyle w:val="47"/>
              <w:spacing w:line="360" w:lineRule="auto"/>
              <w:rPr>
                <w:rFonts w:ascii="Times New Roman" w:hAnsi="Times New Roman" w:eastAsia="宋体" w:cs="Times New Roman"/>
                <w:color w:val="auto"/>
                <w:sz w:val="21"/>
              </w:rPr>
            </w:pPr>
          </w:p>
        </w:tc>
      </w:tr>
      <w:tr w14:paraId="0B33824B">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51BDE44A">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丘脑</w:t>
            </w:r>
          </w:p>
        </w:tc>
        <w:tc>
          <w:tcPr>
            <w:tcW w:w="1170" w:type="pct"/>
            <w:tcBorders>
              <w:top w:val="nil"/>
              <w:left w:val="nil"/>
              <w:bottom w:val="nil"/>
              <w:right w:val="nil"/>
            </w:tcBorders>
            <w:tcMar>
              <w:top w:w="23" w:type="dxa"/>
              <w:left w:w="23" w:type="dxa"/>
              <w:bottom w:w="23" w:type="dxa"/>
              <w:right w:w="23" w:type="dxa"/>
            </w:tcMar>
            <w:vAlign w:val="center"/>
          </w:tcPr>
          <w:p w14:paraId="7CEBC5E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31（23.13）</w:t>
            </w:r>
          </w:p>
        </w:tc>
        <w:tc>
          <w:tcPr>
            <w:tcW w:w="1169" w:type="pct"/>
            <w:tcBorders>
              <w:top w:val="nil"/>
              <w:left w:val="nil"/>
              <w:bottom w:val="nil"/>
              <w:right w:val="nil"/>
            </w:tcBorders>
            <w:tcMar>
              <w:top w:w="23" w:type="dxa"/>
              <w:left w:w="23" w:type="dxa"/>
              <w:bottom w:w="23" w:type="dxa"/>
              <w:right w:w="23" w:type="dxa"/>
            </w:tcMar>
            <w:vAlign w:val="center"/>
          </w:tcPr>
          <w:p w14:paraId="7C14BCCE">
            <w:pPr>
              <w:pStyle w:val="47"/>
              <w:spacing w:line="360" w:lineRule="auto"/>
              <w:rPr>
                <w:rFonts w:eastAsia="宋体" w:cs="宋体"/>
                <w:color w:val="auto"/>
                <w:sz w:val="21"/>
              </w:rPr>
            </w:pPr>
            <w:r>
              <w:rPr>
                <w:rFonts w:hint="eastAsia" w:eastAsia="宋体" w:cs="宋体"/>
                <w:color w:val="auto"/>
                <w:sz w:val="21"/>
              </w:rPr>
              <w:t>-</w:t>
            </w:r>
          </w:p>
        </w:tc>
        <w:tc>
          <w:tcPr>
            <w:tcW w:w="537" w:type="pct"/>
            <w:tcBorders>
              <w:top w:val="nil"/>
              <w:left w:val="nil"/>
              <w:bottom w:val="nil"/>
              <w:right w:val="nil"/>
            </w:tcBorders>
            <w:tcMar>
              <w:top w:w="23" w:type="dxa"/>
              <w:left w:w="23" w:type="dxa"/>
              <w:bottom w:w="23" w:type="dxa"/>
              <w:right w:w="23" w:type="dxa"/>
            </w:tcMar>
            <w:vAlign w:val="center"/>
          </w:tcPr>
          <w:p w14:paraId="429C3587">
            <w:pPr>
              <w:pStyle w:val="47"/>
              <w:spacing w:line="360" w:lineRule="auto"/>
              <w:rPr>
                <w:rFonts w:ascii="Times New Roman" w:hAnsi="Times New Roman" w:eastAsia="宋体" w:cs="Times New Roman"/>
                <w:color w:val="auto"/>
                <w:sz w:val="21"/>
              </w:rPr>
            </w:pPr>
          </w:p>
        </w:tc>
        <w:tc>
          <w:tcPr>
            <w:tcW w:w="355" w:type="pct"/>
            <w:tcBorders>
              <w:top w:val="nil"/>
              <w:left w:val="nil"/>
              <w:bottom w:val="nil"/>
              <w:right w:val="nil"/>
            </w:tcBorders>
            <w:tcMar>
              <w:top w:w="23" w:type="dxa"/>
              <w:left w:w="23" w:type="dxa"/>
              <w:bottom w:w="23" w:type="dxa"/>
              <w:right w:w="23" w:type="dxa"/>
            </w:tcMar>
            <w:vAlign w:val="center"/>
          </w:tcPr>
          <w:p w14:paraId="7DBE5E45">
            <w:pPr>
              <w:pStyle w:val="47"/>
              <w:spacing w:line="360" w:lineRule="auto"/>
              <w:rPr>
                <w:rFonts w:ascii="Times New Roman" w:hAnsi="Times New Roman" w:eastAsia="宋体" w:cs="Times New Roman"/>
                <w:color w:val="auto"/>
                <w:sz w:val="21"/>
              </w:rPr>
            </w:pPr>
          </w:p>
        </w:tc>
      </w:tr>
      <w:tr w14:paraId="31F45DD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nil"/>
              <w:right w:val="nil"/>
            </w:tcBorders>
            <w:tcMar>
              <w:top w:w="23" w:type="dxa"/>
              <w:left w:w="23" w:type="dxa"/>
              <w:bottom w:w="23" w:type="dxa"/>
              <w:right w:w="23" w:type="dxa"/>
            </w:tcMar>
            <w:vAlign w:val="center"/>
          </w:tcPr>
          <w:p w14:paraId="535DAA4E">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基底核区</w:t>
            </w:r>
          </w:p>
        </w:tc>
        <w:tc>
          <w:tcPr>
            <w:tcW w:w="1170" w:type="pct"/>
            <w:tcBorders>
              <w:top w:val="nil"/>
              <w:left w:val="nil"/>
              <w:bottom w:val="nil"/>
              <w:right w:val="nil"/>
            </w:tcBorders>
            <w:tcMar>
              <w:top w:w="23" w:type="dxa"/>
              <w:left w:w="23" w:type="dxa"/>
              <w:bottom w:w="23" w:type="dxa"/>
              <w:right w:w="23" w:type="dxa"/>
            </w:tcMar>
            <w:vAlign w:val="center"/>
          </w:tcPr>
          <w:p w14:paraId="4B5B535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56（41.79）</w:t>
            </w:r>
          </w:p>
        </w:tc>
        <w:tc>
          <w:tcPr>
            <w:tcW w:w="1169" w:type="pct"/>
            <w:tcBorders>
              <w:top w:val="nil"/>
              <w:left w:val="nil"/>
              <w:bottom w:val="nil"/>
              <w:right w:val="nil"/>
            </w:tcBorders>
            <w:tcMar>
              <w:top w:w="23" w:type="dxa"/>
              <w:left w:w="23" w:type="dxa"/>
              <w:bottom w:w="23" w:type="dxa"/>
              <w:right w:w="23" w:type="dxa"/>
            </w:tcMar>
            <w:vAlign w:val="center"/>
          </w:tcPr>
          <w:p w14:paraId="099A1F9C">
            <w:pPr>
              <w:pStyle w:val="47"/>
              <w:spacing w:line="360" w:lineRule="auto"/>
              <w:rPr>
                <w:rFonts w:eastAsia="宋体" w:cs="宋体"/>
                <w:color w:val="auto"/>
                <w:sz w:val="21"/>
              </w:rPr>
            </w:pPr>
            <w:r>
              <w:rPr>
                <w:rFonts w:hint="eastAsia" w:eastAsia="宋体" w:cs="宋体"/>
                <w:color w:val="auto"/>
                <w:sz w:val="21"/>
              </w:rPr>
              <w:t>-</w:t>
            </w:r>
          </w:p>
        </w:tc>
        <w:tc>
          <w:tcPr>
            <w:tcW w:w="537" w:type="pct"/>
            <w:tcBorders>
              <w:top w:val="nil"/>
              <w:left w:val="nil"/>
              <w:bottom w:val="nil"/>
              <w:right w:val="nil"/>
            </w:tcBorders>
            <w:tcMar>
              <w:top w:w="23" w:type="dxa"/>
              <w:left w:w="23" w:type="dxa"/>
              <w:bottom w:w="23" w:type="dxa"/>
              <w:right w:w="23" w:type="dxa"/>
            </w:tcMar>
            <w:vAlign w:val="center"/>
          </w:tcPr>
          <w:p w14:paraId="78BB4AB5">
            <w:pPr>
              <w:pStyle w:val="47"/>
              <w:spacing w:line="360" w:lineRule="auto"/>
              <w:rPr>
                <w:rFonts w:ascii="Times New Roman" w:hAnsi="Times New Roman" w:eastAsia="宋体" w:cs="Times New Roman"/>
                <w:color w:val="auto"/>
                <w:sz w:val="21"/>
              </w:rPr>
            </w:pPr>
          </w:p>
        </w:tc>
        <w:tc>
          <w:tcPr>
            <w:tcW w:w="355" w:type="pct"/>
            <w:tcBorders>
              <w:top w:val="nil"/>
              <w:left w:val="nil"/>
              <w:bottom w:val="nil"/>
              <w:right w:val="nil"/>
            </w:tcBorders>
            <w:tcMar>
              <w:top w:w="23" w:type="dxa"/>
              <w:left w:w="23" w:type="dxa"/>
              <w:bottom w:w="23" w:type="dxa"/>
              <w:right w:w="23" w:type="dxa"/>
            </w:tcMar>
            <w:vAlign w:val="center"/>
          </w:tcPr>
          <w:p w14:paraId="442DF3F2">
            <w:pPr>
              <w:pStyle w:val="47"/>
              <w:spacing w:line="360" w:lineRule="auto"/>
              <w:rPr>
                <w:rFonts w:ascii="Times New Roman" w:hAnsi="Times New Roman" w:eastAsia="宋体" w:cs="Times New Roman"/>
                <w:color w:val="auto"/>
                <w:sz w:val="21"/>
              </w:rPr>
            </w:pPr>
          </w:p>
        </w:tc>
      </w:tr>
      <w:tr w14:paraId="6CB99CF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9" w:type="pct"/>
            <w:tcBorders>
              <w:top w:val="nil"/>
              <w:left w:val="nil"/>
              <w:bottom w:val="single" w:color="000000" w:sz="6" w:space="0"/>
              <w:right w:val="nil"/>
            </w:tcBorders>
            <w:tcMar>
              <w:top w:w="23" w:type="dxa"/>
              <w:left w:w="23" w:type="dxa"/>
              <w:bottom w:w="23" w:type="dxa"/>
              <w:right w:w="23" w:type="dxa"/>
            </w:tcMar>
            <w:vAlign w:val="center"/>
          </w:tcPr>
          <w:p w14:paraId="7C6C787F">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其他</w:t>
            </w:r>
          </w:p>
        </w:tc>
        <w:tc>
          <w:tcPr>
            <w:tcW w:w="1170" w:type="pct"/>
            <w:tcBorders>
              <w:top w:val="nil"/>
              <w:left w:val="nil"/>
              <w:bottom w:val="single" w:color="000000" w:sz="6" w:space="0"/>
              <w:right w:val="nil"/>
            </w:tcBorders>
            <w:tcMar>
              <w:top w:w="23" w:type="dxa"/>
              <w:left w:w="23" w:type="dxa"/>
              <w:bottom w:w="23" w:type="dxa"/>
              <w:right w:w="23" w:type="dxa"/>
            </w:tcMar>
            <w:vAlign w:val="center"/>
          </w:tcPr>
          <w:p w14:paraId="68578D7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7（5.22）</w:t>
            </w:r>
          </w:p>
        </w:tc>
        <w:tc>
          <w:tcPr>
            <w:tcW w:w="1169" w:type="pct"/>
            <w:tcBorders>
              <w:top w:val="nil"/>
              <w:left w:val="nil"/>
              <w:bottom w:val="single" w:color="000000" w:sz="6" w:space="0"/>
              <w:right w:val="nil"/>
            </w:tcBorders>
            <w:tcMar>
              <w:top w:w="23" w:type="dxa"/>
              <w:left w:w="23" w:type="dxa"/>
              <w:bottom w:w="23" w:type="dxa"/>
              <w:right w:w="23" w:type="dxa"/>
            </w:tcMar>
            <w:vAlign w:val="center"/>
          </w:tcPr>
          <w:p w14:paraId="01DA9BF2">
            <w:pPr>
              <w:pStyle w:val="47"/>
              <w:spacing w:line="360" w:lineRule="auto"/>
              <w:rPr>
                <w:rFonts w:eastAsia="宋体" w:cs="宋体"/>
                <w:color w:val="auto"/>
                <w:sz w:val="21"/>
              </w:rPr>
            </w:pPr>
            <w:r>
              <w:rPr>
                <w:rFonts w:hint="eastAsia" w:eastAsia="宋体" w:cs="宋体"/>
                <w:color w:val="auto"/>
                <w:sz w:val="21"/>
              </w:rPr>
              <w:t>-</w:t>
            </w:r>
          </w:p>
        </w:tc>
        <w:tc>
          <w:tcPr>
            <w:tcW w:w="537" w:type="pct"/>
            <w:tcBorders>
              <w:top w:val="nil"/>
              <w:left w:val="nil"/>
              <w:bottom w:val="single" w:color="000000" w:sz="6" w:space="0"/>
              <w:right w:val="nil"/>
            </w:tcBorders>
            <w:tcMar>
              <w:top w:w="23" w:type="dxa"/>
              <w:left w:w="23" w:type="dxa"/>
              <w:bottom w:w="23" w:type="dxa"/>
              <w:right w:w="23" w:type="dxa"/>
            </w:tcMar>
            <w:vAlign w:val="center"/>
          </w:tcPr>
          <w:p w14:paraId="3A9D4F9B">
            <w:pPr>
              <w:pStyle w:val="47"/>
              <w:spacing w:line="360" w:lineRule="auto"/>
              <w:rPr>
                <w:rFonts w:ascii="Times New Roman" w:hAnsi="Times New Roman" w:eastAsia="宋体" w:cs="Times New Roman"/>
                <w:color w:val="auto"/>
                <w:sz w:val="21"/>
              </w:rPr>
            </w:pPr>
          </w:p>
        </w:tc>
        <w:tc>
          <w:tcPr>
            <w:tcW w:w="355" w:type="pct"/>
            <w:tcBorders>
              <w:top w:val="nil"/>
              <w:left w:val="nil"/>
              <w:bottom w:val="single" w:color="000000" w:sz="6" w:space="0"/>
              <w:right w:val="nil"/>
            </w:tcBorders>
            <w:tcMar>
              <w:top w:w="23" w:type="dxa"/>
              <w:left w:w="23" w:type="dxa"/>
              <w:bottom w:w="23" w:type="dxa"/>
              <w:right w:w="23" w:type="dxa"/>
            </w:tcMar>
            <w:vAlign w:val="center"/>
          </w:tcPr>
          <w:p w14:paraId="4003CC18">
            <w:pPr>
              <w:pStyle w:val="47"/>
              <w:spacing w:line="360" w:lineRule="auto"/>
              <w:rPr>
                <w:rFonts w:ascii="Times New Roman" w:hAnsi="Times New Roman" w:eastAsia="宋体" w:cs="Times New Roman"/>
                <w:color w:val="auto"/>
                <w:sz w:val="21"/>
              </w:rPr>
            </w:pPr>
          </w:p>
        </w:tc>
      </w:tr>
    </w:tbl>
    <w:p w14:paraId="392771A4">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二、试验组与对照组血清VE-cadherin、S1P水平及凝血功能比较</w:t>
      </w:r>
    </w:p>
    <w:p w14:paraId="2AE702AE">
      <w:pPr>
        <w:pStyle w:val="29"/>
        <w:spacing w:line="360" w:lineRule="auto"/>
        <w:ind w:firstLine="420"/>
        <w:rPr>
          <w:rFonts w:ascii="Times New Roman" w:hAnsi="Times New Roman" w:cs="Times New Roman"/>
          <w:color w:val="auto"/>
        </w:rPr>
      </w:pPr>
      <w:r>
        <w:rPr>
          <w:rFonts w:ascii="Times New Roman" w:hAnsi="Times New Roman" w:cs="Times New Roman"/>
          <w:color w:val="auto"/>
        </w:rPr>
        <w:t>与对照组健康体检志愿者比较，试验组HICH患者的血清VE-cadherin、S1P、D-D、FIB水平均明显升高，PT、TT、APTT均明显延长，差异均有统计学意义（</w:t>
      </w:r>
      <w:r>
        <w:rPr>
          <w:rFonts w:ascii="Times New Roman" w:hAnsi="Times New Roman" w:cs="Times New Roman"/>
          <w:i/>
          <w:color w:val="auto"/>
        </w:rPr>
        <w:t>P</w:t>
      </w:r>
      <w:r>
        <w:rPr>
          <w:rFonts w:ascii="Times New Roman" w:hAnsi="Times New Roman" w:cs="Times New Roman"/>
          <w:iCs/>
          <w:color w:val="auto"/>
        </w:rPr>
        <w:t>均</w:t>
      </w:r>
      <w:r>
        <w:rPr>
          <w:rFonts w:ascii="Times New Roman" w:hAnsi="Times New Roman" w:cs="Times New Roman"/>
          <w:color w:val="auto"/>
        </w:rPr>
        <w:t>&lt;0.05，表2）。</w:t>
      </w:r>
    </w:p>
    <w:p w14:paraId="1827F83A">
      <w:pPr>
        <w:pStyle w:val="45"/>
        <w:spacing w:line="360" w:lineRule="auto"/>
        <w:ind w:firstLine="0" w:firstLineChars="0"/>
        <w:jc w:val="center"/>
        <w:rPr>
          <w:rFonts w:ascii="Times New Roman" w:hAnsi="Times New Roman" w:eastAsia="宋体" w:cs="Times New Roman"/>
          <w:b/>
          <w:bCs/>
          <w:color w:val="auto"/>
        </w:rPr>
      </w:pPr>
    </w:p>
    <w:p w14:paraId="54731F18">
      <w:pPr>
        <w:pStyle w:val="45"/>
        <w:spacing w:line="360" w:lineRule="auto"/>
        <w:ind w:firstLine="0" w:firstLineChars="0"/>
        <w:jc w:val="center"/>
        <w:rPr>
          <w:rFonts w:ascii="Times New Roman" w:hAnsi="Times New Roman" w:eastAsia="宋体" w:cs="Times New Roman"/>
          <w:color w:val="auto"/>
        </w:rPr>
      </w:pPr>
      <w:r>
        <w:rPr>
          <w:rFonts w:ascii="Times New Roman" w:hAnsi="Times New Roman" w:eastAsia="宋体" w:cs="Times New Roman"/>
          <w:b/>
          <w:bCs/>
          <w:color w:val="auto"/>
        </w:rPr>
        <w:t>表2</w:t>
      </w:r>
      <w:r>
        <w:rPr>
          <w:rFonts w:ascii="Times New Roman" w:hAnsi="Times New Roman" w:eastAsia="宋体" w:cs="Times New Roman"/>
          <w:color w:val="auto"/>
        </w:rPr>
        <w:t xml:space="preserve">  高血压脑出血患者与健康体检志愿者血清VE-cadherin、S1P水平及凝血功能比较</w:t>
      </w:r>
    </w:p>
    <w:tbl>
      <w:tblPr>
        <w:tblStyle w:val="11"/>
        <w:tblW w:w="4998" w:type="pct"/>
        <w:jc w:val="center"/>
        <w:tblBorders>
          <w:top w:val="single" w:color="000000" w:sz="6" w:space="0"/>
          <w:left w:val="none" w:color="auto" w:sz="0" w:space="0"/>
          <w:bottom w:val="single" w:color="000000"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462"/>
        <w:gridCol w:w="2290"/>
        <w:gridCol w:w="2290"/>
        <w:gridCol w:w="1052"/>
        <w:gridCol w:w="695"/>
      </w:tblGrid>
      <w:tr w14:paraId="79CA7D2F">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8"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5F7CAE8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项目</w:t>
            </w:r>
            <w:bookmarkStart w:id="0" w:name="FX_TBL_ID80002B80"/>
            <w:bookmarkEnd w:id="0"/>
          </w:p>
        </w:tc>
        <w:tc>
          <w:tcPr>
            <w:tcW w:w="116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4D3FCCC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试验组（</w:t>
            </w:r>
            <w:r>
              <w:rPr>
                <w:rFonts w:ascii="Times New Roman" w:hAnsi="Times New Roman" w:eastAsia="宋体" w:cs="Times New Roman"/>
                <w:i/>
                <w:color w:val="auto"/>
                <w:sz w:val="21"/>
              </w:rPr>
              <w:t>n</w:t>
            </w:r>
            <w:r>
              <w:rPr>
                <w:rFonts w:hint="eastAsia" w:ascii="Times New Roman" w:hAnsi="Times New Roman" w:eastAsia="宋体" w:cs="Times New Roman"/>
                <w:color w:val="auto"/>
                <w:sz w:val="21"/>
              </w:rPr>
              <w:t>=</w:t>
            </w:r>
            <w:r>
              <w:rPr>
                <w:rFonts w:ascii="Times New Roman" w:hAnsi="Times New Roman" w:eastAsia="宋体" w:cs="Times New Roman"/>
                <w:color w:val="auto"/>
                <w:sz w:val="21"/>
              </w:rPr>
              <w:t>134）</w:t>
            </w:r>
          </w:p>
        </w:tc>
        <w:tc>
          <w:tcPr>
            <w:tcW w:w="116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239FCB6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对照组（</w:t>
            </w:r>
            <w:r>
              <w:rPr>
                <w:rFonts w:ascii="Times New Roman" w:hAnsi="Times New Roman" w:eastAsia="宋体" w:cs="Times New Roman"/>
                <w:i/>
                <w:color w:val="auto"/>
                <w:sz w:val="21"/>
              </w:rPr>
              <w:t>n</w:t>
            </w:r>
            <w:r>
              <w:rPr>
                <w:rFonts w:hint="eastAsia" w:ascii="Times New Roman" w:hAnsi="Times New Roman" w:eastAsia="宋体" w:cs="Times New Roman"/>
                <w:color w:val="auto"/>
                <w:sz w:val="21"/>
              </w:rPr>
              <w:t>=</w:t>
            </w:r>
            <w:r>
              <w:rPr>
                <w:rFonts w:ascii="Times New Roman" w:hAnsi="Times New Roman" w:eastAsia="宋体" w:cs="Times New Roman"/>
                <w:color w:val="auto"/>
                <w:sz w:val="21"/>
              </w:rPr>
              <w:t>134）</w:t>
            </w:r>
          </w:p>
        </w:tc>
        <w:tc>
          <w:tcPr>
            <w:tcW w:w="537"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444C0C55">
            <w:pPr>
              <w:pStyle w:val="47"/>
              <w:spacing w:line="360" w:lineRule="auto"/>
              <w:rPr>
                <w:rFonts w:ascii="Times New Roman" w:hAnsi="Times New Roman" w:eastAsia="宋体" w:cs="Times New Roman"/>
                <w:color w:val="auto"/>
                <w:sz w:val="21"/>
              </w:rPr>
            </w:pPr>
            <w:r>
              <w:rPr>
                <w:rFonts w:ascii="Times New Roman" w:hAnsi="Times New Roman" w:eastAsia="宋体" w:cs="Times New Roman"/>
                <w:iCs/>
                <w:color w:val="auto"/>
                <w:sz w:val="21"/>
              </w:rPr>
              <w:t>统计值</w:t>
            </w:r>
          </w:p>
        </w:tc>
        <w:tc>
          <w:tcPr>
            <w:tcW w:w="355"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3481FCC2">
            <w:pPr>
              <w:pStyle w:val="47"/>
              <w:spacing w:line="360" w:lineRule="auto"/>
              <w:rPr>
                <w:rFonts w:ascii="Times New Roman" w:hAnsi="Times New Roman" w:eastAsia="宋体" w:cs="Times New Roman"/>
                <w:iCs/>
                <w:color w:val="auto"/>
                <w:sz w:val="21"/>
              </w:rPr>
            </w:pPr>
            <w:r>
              <w:rPr>
                <w:rFonts w:ascii="Times New Roman" w:hAnsi="Times New Roman" w:eastAsia="宋体" w:cs="Times New Roman"/>
                <w:i/>
                <w:color w:val="auto"/>
                <w:sz w:val="21"/>
              </w:rPr>
              <w:t>P</w:t>
            </w:r>
            <w:r>
              <w:rPr>
                <w:rFonts w:ascii="Times New Roman" w:hAnsi="Times New Roman" w:eastAsia="宋体" w:cs="Times New Roman"/>
                <w:iCs/>
                <w:color w:val="auto"/>
                <w:sz w:val="21"/>
              </w:rPr>
              <w:t>值</w:t>
            </w:r>
          </w:p>
        </w:tc>
      </w:tr>
      <w:tr w14:paraId="6755399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8" w:type="pct"/>
            <w:tcBorders>
              <w:top w:val="single" w:color="000000" w:sz="2" w:space="0"/>
              <w:left w:val="nil"/>
              <w:bottom w:val="nil"/>
              <w:right w:val="nil"/>
            </w:tcBorders>
            <w:tcMar>
              <w:top w:w="23" w:type="dxa"/>
              <w:left w:w="23" w:type="dxa"/>
              <w:bottom w:w="23" w:type="dxa"/>
              <w:right w:w="23" w:type="dxa"/>
            </w:tcMar>
            <w:vAlign w:val="center"/>
          </w:tcPr>
          <w:p w14:paraId="683164B0">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VE-cadherin[mg/L，</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169" w:type="pct"/>
            <w:tcBorders>
              <w:top w:val="single" w:color="000000" w:sz="2" w:space="0"/>
              <w:left w:val="nil"/>
              <w:bottom w:val="nil"/>
              <w:right w:val="nil"/>
            </w:tcBorders>
            <w:tcMar>
              <w:top w:w="23" w:type="dxa"/>
              <w:left w:w="23" w:type="dxa"/>
              <w:bottom w:w="23" w:type="dxa"/>
              <w:right w:w="23" w:type="dxa"/>
            </w:tcMar>
            <w:vAlign w:val="center"/>
          </w:tcPr>
          <w:p w14:paraId="49F0B47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5.81（4.55，6.97）</w:t>
            </w:r>
          </w:p>
        </w:tc>
        <w:tc>
          <w:tcPr>
            <w:tcW w:w="1169" w:type="pct"/>
            <w:tcBorders>
              <w:top w:val="single" w:color="000000" w:sz="2" w:space="0"/>
              <w:left w:val="nil"/>
              <w:bottom w:val="nil"/>
              <w:right w:val="nil"/>
            </w:tcBorders>
            <w:tcMar>
              <w:top w:w="23" w:type="dxa"/>
              <w:left w:w="23" w:type="dxa"/>
              <w:bottom w:w="23" w:type="dxa"/>
              <w:right w:w="23" w:type="dxa"/>
            </w:tcMar>
            <w:vAlign w:val="center"/>
          </w:tcPr>
          <w:p w14:paraId="32471A3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3.08（2.77，3.43）</w:t>
            </w:r>
          </w:p>
        </w:tc>
        <w:tc>
          <w:tcPr>
            <w:tcW w:w="537" w:type="pct"/>
            <w:tcBorders>
              <w:top w:val="single" w:color="000000" w:sz="2" w:space="0"/>
              <w:left w:val="nil"/>
              <w:bottom w:val="nil"/>
              <w:right w:val="nil"/>
            </w:tcBorders>
            <w:tcMar>
              <w:top w:w="23" w:type="dxa"/>
              <w:left w:w="23" w:type="dxa"/>
              <w:bottom w:w="23" w:type="dxa"/>
              <w:right w:w="23" w:type="dxa"/>
            </w:tcMar>
            <w:vAlign w:val="center"/>
          </w:tcPr>
          <w:p w14:paraId="6CC638B3">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color w:val="auto"/>
                <w:sz w:val="21"/>
                <w:lang w:val="en-US" w:eastAsia="zh-CN"/>
              </w:rPr>
              <w:t>4.314</w:t>
            </w:r>
          </w:p>
        </w:tc>
        <w:tc>
          <w:tcPr>
            <w:tcW w:w="355" w:type="pct"/>
            <w:tcBorders>
              <w:top w:val="single" w:color="000000" w:sz="2" w:space="0"/>
              <w:left w:val="nil"/>
              <w:bottom w:val="nil"/>
              <w:right w:val="nil"/>
            </w:tcBorders>
            <w:tcMar>
              <w:top w:w="23" w:type="dxa"/>
              <w:left w:w="23" w:type="dxa"/>
              <w:bottom w:w="23" w:type="dxa"/>
              <w:right w:w="23" w:type="dxa"/>
            </w:tcMar>
            <w:vAlign w:val="center"/>
          </w:tcPr>
          <w:p w14:paraId="0B7A211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7988BDA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8" w:type="pct"/>
            <w:tcBorders>
              <w:top w:val="nil"/>
              <w:left w:val="nil"/>
              <w:bottom w:val="nil"/>
              <w:right w:val="nil"/>
            </w:tcBorders>
            <w:tcMar>
              <w:top w:w="23" w:type="dxa"/>
              <w:left w:w="23" w:type="dxa"/>
              <w:bottom w:w="23" w:type="dxa"/>
              <w:right w:w="23" w:type="dxa"/>
            </w:tcMar>
            <w:vAlign w:val="center"/>
          </w:tcPr>
          <w:p w14:paraId="4B8E35F5">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S1P（ng/mL，</w:t>
            </w:r>
            <w:r>
              <w:rPr>
                <w:rFonts w:ascii="Times New Roman" w:hAnsi="Times New Roman" w:eastAsia="宋体" w:cs="Times New Roman"/>
                <w:color w:val="auto"/>
                <w:position w:val="-6"/>
                <w:sz w:val="21"/>
                <w:szCs w:val="21"/>
              </w:rPr>
              <w:object>
                <v:shape id="_x0000_i1028"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28" DrawAspect="Content" ObjectID="_1468075728" r:id="rId8">
                  <o:LockedField>false</o:LockedField>
                </o:OLEObject>
              </w:object>
            </w:r>
            <w:r>
              <w:rPr>
                <w:rFonts w:ascii="Times New Roman" w:hAnsi="Times New Roman" w:eastAsia="宋体" w:cs="Times New Roman"/>
                <w:color w:val="auto"/>
                <w:sz w:val="21"/>
              </w:rPr>
              <w:t>）</w:t>
            </w:r>
          </w:p>
        </w:tc>
        <w:tc>
          <w:tcPr>
            <w:tcW w:w="1169" w:type="pct"/>
            <w:tcBorders>
              <w:top w:val="nil"/>
              <w:left w:val="nil"/>
              <w:bottom w:val="nil"/>
              <w:right w:val="nil"/>
            </w:tcBorders>
            <w:tcMar>
              <w:top w:w="23" w:type="dxa"/>
              <w:left w:w="23" w:type="dxa"/>
              <w:bottom w:w="23" w:type="dxa"/>
              <w:right w:w="23" w:type="dxa"/>
            </w:tcMar>
            <w:vAlign w:val="center"/>
          </w:tcPr>
          <w:p w14:paraId="29B8E061">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287.43±39.42</w:t>
            </w:r>
          </w:p>
        </w:tc>
        <w:tc>
          <w:tcPr>
            <w:tcW w:w="1169" w:type="pct"/>
            <w:tcBorders>
              <w:top w:val="nil"/>
              <w:left w:val="nil"/>
              <w:bottom w:val="nil"/>
              <w:right w:val="nil"/>
            </w:tcBorders>
            <w:tcMar>
              <w:top w:w="23" w:type="dxa"/>
              <w:left w:w="23" w:type="dxa"/>
              <w:bottom w:w="23" w:type="dxa"/>
              <w:right w:w="23" w:type="dxa"/>
            </w:tcMar>
            <w:vAlign w:val="center"/>
          </w:tcPr>
          <w:p w14:paraId="3484C40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210.06±28.01</w:t>
            </w:r>
          </w:p>
        </w:tc>
        <w:tc>
          <w:tcPr>
            <w:tcW w:w="537" w:type="pct"/>
            <w:tcBorders>
              <w:top w:val="nil"/>
              <w:left w:val="nil"/>
              <w:bottom w:val="nil"/>
              <w:right w:val="nil"/>
            </w:tcBorders>
            <w:tcMar>
              <w:top w:w="23" w:type="dxa"/>
              <w:left w:w="23" w:type="dxa"/>
              <w:bottom w:w="23" w:type="dxa"/>
              <w:right w:w="23" w:type="dxa"/>
            </w:tcMar>
            <w:vAlign w:val="center"/>
          </w:tcPr>
          <w:p w14:paraId="64620641">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4.075</w:t>
            </w:r>
          </w:p>
        </w:tc>
        <w:tc>
          <w:tcPr>
            <w:tcW w:w="355" w:type="pct"/>
            <w:tcBorders>
              <w:top w:val="nil"/>
              <w:left w:val="nil"/>
              <w:bottom w:val="nil"/>
              <w:right w:val="nil"/>
            </w:tcBorders>
            <w:tcMar>
              <w:top w:w="23" w:type="dxa"/>
              <w:left w:w="23" w:type="dxa"/>
              <w:bottom w:w="23" w:type="dxa"/>
              <w:right w:w="23" w:type="dxa"/>
            </w:tcMar>
            <w:vAlign w:val="center"/>
          </w:tcPr>
          <w:p w14:paraId="1F96DC2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1DCAD7A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8" w:type="pct"/>
            <w:tcBorders>
              <w:top w:val="nil"/>
              <w:left w:val="nil"/>
              <w:bottom w:val="nil"/>
              <w:right w:val="nil"/>
            </w:tcBorders>
            <w:tcMar>
              <w:top w:w="23" w:type="dxa"/>
              <w:left w:w="23" w:type="dxa"/>
              <w:bottom w:w="23" w:type="dxa"/>
              <w:right w:w="23" w:type="dxa"/>
            </w:tcMar>
            <w:vAlign w:val="center"/>
          </w:tcPr>
          <w:p w14:paraId="0DDF8DD4">
            <w:pPr>
              <w:pStyle w:val="47"/>
              <w:spacing w:line="360" w:lineRule="auto"/>
              <w:jc w:val="left"/>
              <w:rPr>
                <w:rFonts w:ascii="Times New Roman" w:hAnsi="Times New Roman" w:eastAsia="宋体" w:cs="Times New Roman"/>
                <w:color w:val="auto"/>
                <w:sz w:val="21"/>
              </w:rPr>
            </w:pPr>
            <w:bookmarkStart w:id="1" w:name="OLE_LINK3"/>
            <w:r>
              <w:rPr>
                <w:rFonts w:ascii="Times New Roman" w:hAnsi="Times New Roman" w:eastAsia="宋体" w:cs="Times New Roman"/>
                <w:color w:val="auto"/>
                <w:sz w:val="21"/>
              </w:rPr>
              <w:t>D-D</w:t>
            </w:r>
            <w:bookmarkEnd w:id="1"/>
            <w:r>
              <w:rPr>
                <w:rFonts w:ascii="Times New Roman" w:hAnsi="Times New Roman" w:eastAsia="宋体" w:cs="Times New Roman"/>
                <w:color w:val="auto"/>
                <w:sz w:val="21"/>
              </w:rPr>
              <w:t>[mg/L，</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169" w:type="pct"/>
            <w:tcBorders>
              <w:top w:val="nil"/>
              <w:left w:val="nil"/>
              <w:bottom w:val="nil"/>
              <w:right w:val="nil"/>
            </w:tcBorders>
            <w:tcMar>
              <w:top w:w="23" w:type="dxa"/>
              <w:left w:w="23" w:type="dxa"/>
              <w:bottom w:w="23" w:type="dxa"/>
              <w:right w:w="23" w:type="dxa"/>
            </w:tcMar>
            <w:vAlign w:val="center"/>
          </w:tcPr>
          <w:p w14:paraId="5450A44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0.67（0.53，0.85）</w:t>
            </w:r>
          </w:p>
        </w:tc>
        <w:tc>
          <w:tcPr>
            <w:tcW w:w="1169" w:type="pct"/>
            <w:tcBorders>
              <w:top w:val="nil"/>
              <w:left w:val="nil"/>
              <w:bottom w:val="nil"/>
              <w:right w:val="nil"/>
            </w:tcBorders>
            <w:tcMar>
              <w:top w:w="23" w:type="dxa"/>
              <w:left w:w="23" w:type="dxa"/>
              <w:bottom w:w="23" w:type="dxa"/>
              <w:right w:w="23" w:type="dxa"/>
            </w:tcMar>
            <w:vAlign w:val="center"/>
          </w:tcPr>
          <w:p w14:paraId="34BC173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0.29（0.23，0.37）</w:t>
            </w:r>
          </w:p>
        </w:tc>
        <w:tc>
          <w:tcPr>
            <w:tcW w:w="537" w:type="pct"/>
            <w:tcBorders>
              <w:top w:val="nil"/>
              <w:left w:val="nil"/>
              <w:bottom w:val="nil"/>
              <w:right w:val="nil"/>
            </w:tcBorders>
            <w:tcMar>
              <w:top w:w="23" w:type="dxa"/>
              <w:left w:w="23" w:type="dxa"/>
              <w:bottom w:w="23" w:type="dxa"/>
              <w:right w:w="23" w:type="dxa"/>
            </w:tcMar>
            <w:vAlign w:val="center"/>
          </w:tcPr>
          <w:p w14:paraId="2ED3220C">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color w:val="auto"/>
                <w:sz w:val="21"/>
                <w:lang w:val="en-US" w:eastAsia="zh-CN"/>
              </w:rPr>
              <w:t>4.778</w:t>
            </w:r>
          </w:p>
        </w:tc>
        <w:tc>
          <w:tcPr>
            <w:tcW w:w="355" w:type="pct"/>
            <w:tcBorders>
              <w:top w:val="nil"/>
              <w:left w:val="nil"/>
              <w:bottom w:val="nil"/>
              <w:right w:val="nil"/>
            </w:tcBorders>
            <w:tcMar>
              <w:top w:w="23" w:type="dxa"/>
              <w:left w:w="23" w:type="dxa"/>
              <w:bottom w:w="23" w:type="dxa"/>
              <w:right w:w="23" w:type="dxa"/>
            </w:tcMar>
            <w:vAlign w:val="center"/>
          </w:tcPr>
          <w:p w14:paraId="74CDFF5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42690D1A">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8" w:type="pct"/>
            <w:tcBorders>
              <w:top w:val="nil"/>
              <w:left w:val="nil"/>
              <w:bottom w:val="nil"/>
              <w:right w:val="nil"/>
            </w:tcBorders>
            <w:tcMar>
              <w:top w:w="23" w:type="dxa"/>
              <w:left w:w="23" w:type="dxa"/>
              <w:bottom w:w="23" w:type="dxa"/>
              <w:right w:w="23" w:type="dxa"/>
            </w:tcMar>
            <w:vAlign w:val="center"/>
          </w:tcPr>
          <w:p w14:paraId="09BECF33">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FIB（g/L，</w:t>
            </w:r>
            <w:r>
              <w:rPr>
                <w:rFonts w:ascii="Times New Roman" w:hAnsi="Times New Roman" w:eastAsia="宋体" w:cs="Times New Roman"/>
                <w:color w:val="auto"/>
                <w:position w:val="-6"/>
                <w:sz w:val="21"/>
                <w:szCs w:val="21"/>
              </w:rPr>
              <w:object>
                <v:shape id="_x0000_i1029"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29" DrawAspect="Content" ObjectID="_1468075729" r:id="rId9">
                  <o:LockedField>false</o:LockedField>
                </o:OLEObject>
              </w:object>
            </w:r>
            <w:r>
              <w:rPr>
                <w:rFonts w:ascii="Times New Roman" w:hAnsi="Times New Roman" w:eastAsia="宋体" w:cs="Times New Roman"/>
                <w:color w:val="auto"/>
                <w:sz w:val="21"/>
              </w:rPr>
              <w:t>）</w:t>
            </w:r>
          </w:p>
        </w:tc>
        <w:tc>
          <w:tcPr>
            <w:tcW w:w="1169" w:type="pct"/>
            <w:tcBorders>
              <w:top w:val="nil"/>
              <w:left w:val="nil"/>
              <w:bottom w:val="nil"/>
              <w:right w:val="nil"/>
            </w:tcBorders>
            <w:tcMar>
              <w:top w:w="23" w:type="dxa"/>
              <w:left w:w="23" w:type="dxa"/>
              <w:bottom w:w="23" w:type="dxa"/>
              <w:right w:w="23" w:type="dxa"/>
            </w:tcMar>
            <w:vAlign w:val="center"/>
          </w:tcPr>
          <w:p w14:paraId="781F823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3.96±0.53</w:t>
            </w:r>
          </w:p>
        </w:tc>
        <w:tc>
          <w:tcPr>
            <w:tcW w:w="1169" w:type="pct"/>
            <w:tcBorders>
              <w:top w:val="nil"/>
              <w:left w:val="nil"/>
              <w:bottom w:val="nil"/>
              <w:right w:val="nil"/>
            </w:tcBorders>
            <w:tcMar>
              <w:top w:w="23" w:type="dxa"/>
              <w:left w:w="23" w:type="dxa"/>
              <w:bottom w:w="23" w:type="dxa"/>
              <w:right w:w="23" w:type="dxa"/>
            </w:tcMar>
            <w:vAlign w:val="center"/>
          </w:tcPr>
          <w:p w14:paraId="6BD4262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2.66±0.40</w:t>
            </w:r>
          </w:p>
        </w:tc>
        <w:tc>
          <w:tcPr>
            <w:tcW w:w="537" w:type="pct"/>
            <w:tcBorders>
              <w:top w:val="nil"/>
              <w:left w:val="nil"/>
              <w:bottom w:val="nil"/>
              <w:right w:val="nil"/>
            </w:tcBorders>
            <w:tcMar>
              <w:top w:w="23" w:type="dxa"/>
              <w:left w:w="23" w:type="dxa"/>
              <w:bottom w:w="23" w:type="dxa"/>
              <w:right w:w="23" w:type="dxa"/>
            </w:tcMar>
            <w:vAlign w:val="center"/>
          </w:tcPr>
          <w:p w14:paraId="44C90887">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22.663</w:t>
            </w:r>
          </w:p>
        </w:tc>
        <w:tc>
          <w:tcPr>
            <w:tcW w:w="355" w:type="pct"/>
            <w:tcBorders>
              <w:top w:val="nil"/>
              <w:left w:val="nil"/>
              <w:bottom w:val="nil"/>
              <w:right w:val="nil"/>
            </w:tcBorders>
            <w:tcMar>
              <w:top w:w="23" w:type="dxa"/>
              <w:left w:w="23" w:type="dxa"/>
              <w:bottom w:w="23" w:type="dxa"/>
              <w:right w:w="23" w:type="dxa"/>
            </w:tcMar>
            <w:vAlign w:val="center"/>
          </w:tcPr>
          <w:p w14:paraId="6F58F2D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4B12264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8" w:type="pct"/>
            <w:tcBorders>
              <w:top w:val="nil"/>
              <w:left w:val="nil"/>
              <w:bottom w:val="nil"/>
              <w:right w:val="nil"/>
            </w:tcBorders>
            <w:tcMar>
              <w:top w:w="23" w:type="dxa"/>
              <w:left w:w="23" w:type="dxa"/>
              <w:bottom w:w="23" w:type="dxa"/>
              <w:right w:w="23" w:type="dxa"/>
            </w:tcMar>
            <w:vAlign w:val="center"/>
          </w:tcPr>
          <w:p w14:paraId="532886F8">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PT（s，</w:t>
            </w:r>
            <w:r>
              <w:rPr>
                <w:rFonts w:ascii="Times New Roman" w:hAnsi="Times New Roman" w:eastAsia="宋体" w:cs="Times New Roman"/>
                <w:color w:val="auto"/>
                <w:position w:val="-6"/>
                <w:sz w:val="21"/>
                <w:szCs w:val="21"/>
              </w:rPr>
              <w:object>
                <v:shape id="_x0000_i1030"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0" DrawAspect="Content" ObjectID="_1468075730" r:id="rId10">
                  <o:LockedField>false</o:LockedField>
                </o:OLEObject>
              </w:object>
            </w:r>
            <w:r>
              <w:rPr>
                <w:rFonts w:ascii="Times New Roman" w:hAnsi="Times New Roman" w:eastAsia="宋体" w:cs="Times New Roman"/>
                <w:color w:val="auto"/>
                <w:sz w:val="21"/>
              </w:rPr>
              <w:t>）</w:t>
            </w:r>
          </w:p>
        </w:tc>
        <w:tc>
          <w:tcPr>
            <w:tcW w:w="1169" w:type="pct"/>
            <w:tcBorders>
              <w:top w:val="nil"/>
              <w:left w:val="nil"/>
              <w:bottom w:val="nil"/>
              <w:right w:val="nil"/>
            </w:tcBorders>
            <w:tcMar>
              <w:top w:w="23" w:type="dxa"/>
              <w:left w:w="23" w:type="dxa"/>
              <w:bottom w:w="23" w:type="dxa"/>
              <w:right w:w="23" w:type="dxa"/>
            </w:tcMar>
            <w:vAlign w:val="center"/>
          </w:tcPr>
          <w:p w14:paraId="54CEC0D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15.</w:t>
            </w:r>
            <w:r>
              <w:rPr>
                <w:rFonts w:hint="eastAsia" w:ascii="Times New Roman" w:hAnsi="Times New Roman" w:eastAsia="宋体" w:cs="Times New Roman"/>
                <w:color w:val="auto"/>
                <w:sz w:val="21"/>
                <w:lang w:val="en-US" w:eastAsia="zh-CN"/>
              </w:rPr>
              <w:t>66</w:t>
            </w:r>
            <w:r>
              <w:rPr>
                <w:rFonts w:ascii="Times New Roman" w:hAnsi="Times New Roman" w:eastAsia="宋体" w:cs="Times New Roman"/>
                <w:color w:val="auto"/>
                <w:sz w:val="21"/>
              </w:rPr>
              <w:t>±3.44</w:t>
            </w:r>
          </w:p>
        </w:tc>
        <w:tc>
          <w:tcPr>
            <w:tcW w:w="1169" w:type="pct"/>
            <w:tcBorders>
              <w:top w:val="nil"/>
              <w:left w:val="nil"/>
              <w:bottom w:val="nil"/>
              <w:right w:val="nil"/>
            </w:tcBorders>
            <w:tcMar>
              <w:top w:w="23" w:type="dxa"/>
              <w:left w:w="23" w:type="dxa"/>
              <w:bottom w:w="23" w:type="dxa"/>
              <w:right w:w="23" w:type="dxa"/>
            </w:tcMar>
            <w:vAlign w:val="center"/>
          </w:tcPr>
          <w:p w14:paraId="1AC8F5C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12.00±</w:t>
            </w:r>
            <w:r>
              <w:rPr>
                <w:rFonts w:hint="eastAsia" w:ascii="Times New Roman" w:hAnsi="Times New Roman" w:eastAsia="宋体" w:cs="Times New Roman"/>
                <w:color w:val="auto"/>
                <w:sz w:val="21"/>
                <w:lang w:eastAsia="zh-CN"/>
              </w:rPr>
              <w:t>1</w:t>
            </w:r>
            <w:r>
              <w:rPr>
                <w:rFonts w:ascii="Times New Roman" w:hAnsi="Times New Roman" w:eastAsia="宋体" w:cs="Times New Roman"/>
                <w:color w:val="auto"/>
                <w:sz w:val="21"/>
              </w:rPr>
              <w:t>.97</w:t>
            </w:r>
          </w:p>
        </w:tc>
        <w:tc>
          <w:tcPr>
            <w:tcW w:w="537" w:type="pct"/>
            <w:tcBorders>
              <w:top w:val="nil"/>
              <w:left w:val="nil"/>
              <w:bottom w:val="nil"/>
              <w:right w:val="nil"/>
            </w:tcBorders>
            <w:tcMar>
              <w:top w:w="23" w:type="dxa"/>
              <w:left w:w="23" w:type="dxa"/>
              <w:bottom w:w="23" w:type="dxa"/>
              <w:right w:w="23" w:type="dxa"/>
            </w:tcMar>
            <w:vAlign w:val="center"/>
          </w:tcPr>
          <w:p w14:paraId="2A8904C5">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10.688</w:t>
            </w:r>
          </w:p>
        </w:tc>
        <w:tc>
          <w:tcPr>
            <w:tcW w:w="355" w:type="pct"/>
            <w:tcBorders>
              <w:top w:val="nil"/>
              <w:left w:val="nil"/>
              <w:bottom w:val="nil"/>
              <w:right w:val="nil"/>
            </w:tcBorders>
            <w:tcMar>
              <w:top w:w="23" w:type="dxa"/>
              <w:left w:w="23" w:type="dxa"/>
              <w:bottom w:w="23" w:type="dxa"/>
              <w:right w:w="23" w:type="dxa"/>
            </w:tcMar>
            <w:vAlign w:val="center"/>
          </w:tcPr>
          <w:p w14:paraId="6588C59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3E68BCFA">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768" w:type="pct"/>
            <w:tcBorders>
              <w:top w:val="nil"/>
              <w:left w:val="nil"/>
              <w:bottom w:val="nil"/>
              <w:right w:val="nil"/>
            </w:tcBorders>
            <w:tcMar>
              <w:top w:w="23" w:type="dxa"/>
              <w:left w:w="23" w:type="dxa"/>
              <w:bottom w:w="23" w:type="dxa"/>
              <w:right w:w="23" w:type="dxa"/>
            </w:tcMar>
            <w:vAlign w:val="center"/>
          </w:tcPr>
          <w:p w14:paraId="125235A7">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TT[s，</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169" w:type="pct"/>
            <w:tcBorders>
              <w:top w:val="nil"/>
              <w:left w:val="nil"/>
              <w:bottom w:val="nil"/>
              <w:right w:val="nil"/>
            </w:tcBorders>
            <w:tcMar>
              <w:top w:w="23" w:type="dxa"/>
              <w:left w:w="23" w:type="dxa"/>
              <w:bottom w:w="23" w:type="dxa"/>
              <w:right w:w="23" w:type="dxa"/>
            </w:tcMar>
            <w:vAlign w:val="center"/>
          </w:tcPr>
          <w:p w14:paraId="76E0F75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24.80（22.95，26.33）</w:t>
            </w:r>
          </w:p>
        </w:tc>
        <w:tc>
          <w:tcPr>
            <w:tcW w:w="1169" w:type="pct"/>
            <w:tcBorders>
              <w:top w:val="nil"/>
              <w:left w:val="nil"/>
              <w:bottom w:val="nil"/>
              <w:right w:val="nil"/>
            </w:tcBorders>
            <w:tcMar>
              <w:top w:w="23" w:type="dxa"/>
              <w:left w:w="23" w:type="dxa"/>
              <w:bottom w:w="23" w:type="dxa"/>
              <w:right w:w="23" w:type="dxa"/>
            </w:tcMar>
            <w:vAlign w:val="center"/>
          </w:tcPr>
          <w:p w14:paraId="2F7CF2B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16.98（15.16，18.73）</w:t>
            </w:r>
          </w:p>
        </w:tc>
        <w:tc>
          <w:tcPr>
            <w:tcW w:w="537" w:type="pct"/>
            <w:tcBorders>
              <w:top w:val="nil"/>
              <w:left w:val="nil"/>
              <w:bottom w:val="nil"/>
              <w:right w:val="nil"/>
            </w:tcBorders>
            <w:tcMar>
              <w:top w:w="23" w:type="dxa"/>
              <w:left w:w="23" w:type="dxa"/>
              <w:bottom w:w="23" w:type="dxa"/>
              <w:right w:w="23" w:type="dxa"/>
            </w:tcMar>
            <w:vAlign w:val="center"/>
          </w:tcPr>
          <w:p w14:paraId="6777F593">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color w:val="auto"/>
                <w:sz w:val="21"/>
                <w:lang w:val="en-US" w:eastAsia="zh-CN"/>
              </w:rPr>
              <w:t>4.412</w:t>
            </w:r>
          </w:p>
        </w:tc>
        <w:tc>
          <w:tcPr>
            <w:tcW w:w="355" w:type="pct"/>
            <w:tcBorders>
              <w:top w:val="nil"/>
              <w:left w:val="nil"/>
              <w:bottom w:val="nil"/>
              <w:right w:val="nil"/>
            </w:tcBorders>
            <w:tcMar>
              <w:top w:w="23" w:type="dxa"/>
              <w:left w:w="23" w:type="dxa"/>
              <w:bottom w:w="23" w:type="dxa"/>
              <w:right w:w="23" w:type="dxa"/>
            </w:tcMar>
            <w:vAlign w:val="center"/>
          </w:tcPr>
          <w:p w14:paraId="0014F0D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3DC1B3A8">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768" w:type="pct"/>
            <w:tcBorders>
              <w:top w:val="nil"/>
              <w:left w:val="nil"/>
              <w:bottom w:val="single" w:color="000000" w:sz="6" w:space="0"/>
              <w:right w:val="nil"/>
            </w:tcBorders>
            <w:tcMar>
              <w:top w:w="23" w:type="dxa"/>
              <w:left w:w="23" w:type="dxa"/>
              <w:bottom w:w="23" w:type="dxa"/>
              <w:right w:w="23" w:type="dxa"/>
            </w:tcMar>
            <w:vAlign w:val="center"/>
          </w:tcPr>
          <w:p w14:paraId="53269E3C">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APTT（s，</w:t>
            </w:r>
            <w:r>
              <w:rPr>
                <w:rFonts w:ascii="Times New Roman" w:hAnsi="Times New Roman" w:eastAsia="宋体" w:cs="Times New Roman"/>
                <w:color w:val="auto"/>
                <w:position w:val="-6"/>
                <w:sz w:val="21"/>
                <w:szCs w:val="21"/>
              </w:rPr>
              <w:object>
                <v:shape id="_x0000_i1031"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1" DrawAspect="Content" ObjectID="_1468075731" r:id="rId11">
                  <o:LockedField>false</o:LockedField>
                </o:OLEObject>
              </w:object>
            </w:r>
            <w:r>
              <w:rPr>
                <w:rFonts w:ascii="Times New Roman" w:hAnsi="Times New Roman" w:eastAsia="宋体" w:cs="Times New Roman"/>
                <w:color w:val="auto"/>
                <w:sz w:val="21"/>
              </w:rPr>
              <w:t>）</w:t>
            </w:r>
          </w:p>
        </w:tc>
        <w:tc>
          <w:tcPr>
            <w:tcW w:w="1169" w:type="pct"/>
            <w:tcBorders>
              <w:top w:val="nil"/>
              <w:left w:val="nil"/>
              <w:bottom w:val="single" w:color="000000" w:sz="6" w:space="0"/>
              <w:right w:val="nil"/>
            </w:tcBorders>
            <w:tcMar>
              <w:top w:w="23" w:type="dxa"/>
              <w:left w:w="23" w:type="dxa"/>
              <w:bottom w:w="23" w:type="dxa"/>
              <w:right w:w="23" w:type="dxa"/>
            </w:tcMar>
            <w:vAlign w:val="center"/>
          </w:tcPr>
          <w:p w14:paraId="0B913BFE">
            <w:pPr>
              <w:pStyle w:val="47"/>
              <w:spacing w:line="360" w:lineRule="auto"/>
              <w:rPr>
                <w:rFonts w:ascii="Times New Roman" w:hAnsi="Times New Roman" w:eastAsia="宋体" w:cs="Times New Roman"/>
                <w:color w:val="auto"/>
                <w:sz w:val="21"/>
                <w:highlight w:val="none"/>
              </w:rPr>
            </w:pPr>
            <w:r>
              <w:rPr>
                <w:rFonts w:ascii="Times New Roman" w:hAnsi="Times New Roman" w:eastAsia="宋体" w:cs="Times New Roman"/>
                <w:color w:val="auto"/>
                <w:sz w:val="21"/>
                <w:highlight w:val="none"/>
              </w:rPr>
              <w:t>35.</w:t>
            </w:r>
            <w:r>
              <w:rPr>
                <w:rFonts w:hint="eastAsia" w:ascii="Times New Roman" w:hAnsi="Times New Roman" w:eastAsia="宋体" w:cs="Times New Roman"/>
                <w:color w:val="auto"/>
                <w:sz w:val="21"/>
                <w:highlight w:val="none"/>
                <w:lang w:eastAsia="zh-CN"/>
              </w:rPr>
              <w:t>4</w:t>
            </w:r>
            <w:r>
              <w:rPr>
                <w:rFonts w:hint="eastAsia" w:ascii="Times New Roman" w:hAnsi="Times New Roman" w:eastAsia="宋体" w:cs="Times New Roman"/>
                <w:color w:val="auto"/>
                <w:sz w:val="21"/>
                <w:highlight w:val="none"/>
                <w:lang w:val="en-US" w:eastAsia="zh-CN"/>
              </w:rPr>
              <w:t>5</w:t>
            </w:r>
            <w:r>
              <w:rPr>
                <w:rFonts w:ascii="Times New Roman" w:hAnsi="Times New Roman" w:eastAsia="宋体" w:cs="Times New Roman"/>
                <w:color w:val="auto"/>
                <w:sz w:val="21"/>
                <w:highlight w:val="none"/>
              </w:rPr>
              <w:t>±5.49</w:t>
            </w:r>
          </w:p>
        </w:tc>
        <w:tc>
          <w:tcPr>
            <w:tcW w:w="1169" w:type="pct"/>
            <w:tcBorders>
              <w:top w:val="nil"/>
              <w:left w:val="nil"/>
              <w:bottom w:val="single" w:color="000000" w:sz="6" w:space="0"/>
              <w:right w:val="nil"/>
            </w:tcBorders>
            <w:tcMar>
              <w:top w:w="23" w:type="dxa"/>
              <w:left w:w="23" w:type="dxa"/>
              <w:bottom w:w="23" w:type="dxa"/>
              <w:right w:w="23" w:type="dxa"/>
            </w:tcMar>
            <w:vAlign w:val="center"/>
          </w:tcPr>
          <w:p w14:paraId="5DB72ABB">
            <w:pPr>
              <w:pStyle w:val="47"/>
              <w:spacing w:line="360" w:lineRule="auto"/>
              <w:rPr>
                <w:rFonts w:ascii="Times New Roman" w:hAnsi="Times New Roman" w:eastAsia="宋体" w:cs="Times New Roman"/>
                <w:color w:val="auto"/>
                <w:sz w:val="21"/>
                <w:highlight w:val="none"/>
              </w:rPr>
            </w:pPr>
            <w:r>
              <w:rPr>
                <w:rFonts w:ascii="Times New Roman" w:hAnsi="Times New Roman" w:eastAsia="宋体" w:cs="Times New Roman"/>
                <w:color w:val="auto"/>
                <w:sz w:val="21"/>
                <w:highlight w:val="none"/>
              </w:rPr>
              <w:t>27.99±2.91</w:t>
            </w:r>
          </w:p>
        </w:tc>
        <w:tc>
          <w:tcPr>
            <w:tcW w:w="537" w:type="pct"/>
            <w:tcBorders>
              <w:top w:val="nil"/>
              <w:left w:val="nil"/>
              <w:bottom w:val="single" w:color="000000" w:sz="6" w:space="0"/>
              <w:right w:val="nil"/>
            </w:tcBorders>
            <w:tcMar>
              <w:top w:w="23" w:type="dxa"/>
              <w:left w:w="23" w:type="dxa"/>
              <w:bottom w:w="23" w:type="dxa"/>
              <w:right w:w="23" w:type="dxa"/>
            </w:tcMar>
            <w:vAlign w:val="center"/>
          </w:tcPr>
          <w:p w14:paraId="56EF2F42">
            <w:pPr>
              <w:pStyle w:val="47"/>
              <w:spacing w:line="360" w:lineRule="auto"/>
              <w:rPr>
                <w:rFonts w:hint="default" w:ascii="Times New Roman" w:hAnsi="Times New Roman" w:eastAsia="宋体" w:cs="Times New Roman"/>
                <w:color w:val="auto"/>
                <w:sz w:val="21"/>
                <w:highlight w:val="none"/>
                <w:lang w:val="en-US" w:eastAsia="zh-CN"/>
              </w:rPr>
            </w:pPr>
            <w:r>
              <w:rPr>
                <w:rFonts w:ascii="Times New Roman" w:hAnsi="Times New Roman" w:eastAsia="宋体" w:cs="Times New Roman"/>
                <w:i/>
                <w:iCs/>
                <w:color w:val="auto"/>
                <w:sz w:val="21"/>
                <w:highlight w:val="none"/>
              </w:rPr>
              <w:t>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13.898</w:t>
            </w:r>
          </w:p>
        </w:tc>
        <w:tc>
          <w:tcPr>
            <w:tcW w:w="355" w:type="pct"/>
            <w:tcBorders>
              <w:top w:val="nil"/>
              <w:left w:val="nil"/>
              <w:bottom w:val="single" w:color="000000" w:sz="6" w:space="0"/>
              <w:right w:val="nil"/>
            </w:tcBorders>
            <w:tcMar>
              <w:top w:w="23" w:type="dxa"/>
              <w:left w:w="23" w:type="dxa"/>
              <w:bottom w:w="23" w:type="dxa"/>
              <w:right w:w="23" w:type="dxa"/>
            </w:tcMar>
            <w:vAlign w:val="center"/>
          </w:tcPr>
          <w:p w14:paraId="30F4E353">
            <w:pPr>
              <w:pStyle w:val="47"/>
              <w:spacing w:line="360" w:lineRule="auto"/>
              <w:rPr>
                <w:rFonts w:ascii="Times New Roman" w:hAnsi="Times New Roman" w:eastAsia="宋体" w:cs="Times New Roman"/>
                <w:color w:val="auto"/>
                <w:sz w:val="21"/>
                <w:highlight w:val="none"/>
              </w:rPr>
            </w:pPr>
            <w:r>
              <w:rPr>
                <w:rFonts w:ascii="Times New Roman" w:hAnsi="Times New Roman" w:eastAsia="宋体" w:cs="Times New Roman"/>
                <w:color w:val="auto"/>
                <w:sz w:val="21"/>
                <w:highlight w:val="none"/>
              </w:rPr>
              <w:t>&lt;0.001</w:t>
            </w:r>
          </w:p>
        </w:tc>
      </w:tr>
    </w:tbl>
    <w:p w14:paraId="16622510">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注：VE-cadherin为血管内皮钙黏蛋白；S1P为1-磷酸鞘氨酸；D-D为D-二聚体；FIB为降钙素原；PT为凝血酶原时间；TT为凝血酶时间；APTT为活化部分凝血酶时间</w:t>
      </w:r>
    </w:p>
    <w:p w14:paraId="4CFFEB89">
      <w:pPr>
        <w:pStyle w:val="39"/>
        <w:spacing w:line="360" w:lineRule="auto"/>
        <w:ind w:firstLine="420" w:firstLineChars="200"/>
        <w:rPr>
          <w:rFonts w:ascii="Times New Roman" w:hAnsi="Times New Roman" w:eastAsia="宋体" w:cs="Times New Roman"/>
          <w:color w:val="auto"/>
        </w:rPr>
      </w:pPr>
    </w:p>
    <w:p w14:paraId="4B15F8F7">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三、不同神经缺损情况HICH患者血清VE-cadherin、S1P水平及凝血功能比较</w:t>
      </w:r>
    </w:p>
    <w:p w14:paraId="24FCF9C4">
      <w:pPr>
        <w:pStyle w:val="29"/>
        <w:spacing w:line="360" w:lineRule="auto"/>
        <w:ind w:firstLine="420"/>
        <w:rPr>
          <w:rFonts w:ascii="Times New Roman" w:hAnsi="Times New Roman" w:cs="Times New Roman"/>
          <w:color w:val="auto"/>
        </w:rPr>
      </w:pPr>
      <w:r>
        <w:rPr>
          <w:rFonts w:ascii="Times New Roman" w:hAnsi="Times New Roman" w:cs="Times New Roman"/>
          <w:color w:val="auto"/>
        </w:rPr>
        <w:t>轻度、中度、中重度、重度缺损组HICH患者的血清VE-cadherin、S1P、D-D、FIB水平依次升高，PT、TT、APTT依次延长，差异均有统计学意义（</w:t>
      </w:r>
      <w:r>
        <w:rPr>
          <w:rFonts w:ascii="Times New Roman" w:hAnsi="Times New Roman" w:cs="Times New Roman"/>
          <w:i/>
          <w:color w:val="auto"/>
        </w:rPr>
        <w:t>P</w:t>
      </w:r>
      <w:r>
        <w:rPr>
          <w:rFonts w:ascii="Times New Roman" w:hAnsi="Times New Roman" w:cs="Times New Roman"/>
          <w:iCs/>
          <w:color w:val="auto"/>
        </w:rPr>
        <w:t>均</w:t>
      </w:r>
      <w:r>
        <w:rPr>
          <w:rFonts w:ascii="Times New Roman" w:hAnsi="Times New Roman" w:cs="Times New Roman"/>
          <w:color w:val="auto"/>
        </w:rPr>
        <w:t>&lt;0.05，表3）。</w:t>
      </w:r>
    </w:p>
    <w:p w14:paraId="425A8E86">
      <w:pPr>
        <w:pStyle w:val="45"/>
        <w:spacing w:line="360" w:lineRule="auto"/>
        <w:ind w:firstLine="0" w:firstLineChars="0"/>
        <w:jc w:val="center"/>
        <w:rPr>
          <w:rFonts w:ascii="Times New Roman" w:hAnsi="Times New Roman" w:eastAsia="宋体" w:cs="Times New Roman"/>
          <w:color w:val="auto"/>
        </w:rPr>
      </w:pPr>
    </w:p>
    <w:p w14:paraId="1806AC79">
      <w:pPr>
        <w:pStyle w:val="45"/>
        <w:spacing w:line="360" w:lineRule="auto"/>
        <w:ind w:firstLine="0" w:firstLineChars="0"/>
        <w:jc w:val="center"/>
        <w:rPr>
          <w:rFonts w:ascii="Times New Roman" w:hAnsi="Times New Roman" w:eastAsia="宋体" w:cs="Times New Roman"/>
          <w:color w:val="auto"/>
        </w:rPr>
      </w:pPr>
      <w:r>
        <w:rPr>
          <w:rFonts w:ascii="Times New Roman" w:hAnsi="Times New Roman" w:eastAsia="宋体" w:cs="Times New Roman"/>
          <w:b/>
          <w:bCs/>
          <w:color w:val="auto"/>
        </w:rPr>
        <w:t>表3</w:t>
      </w:r>
      <w:r>
        <w:rPr>
          <w:rFonts w:ascii="Times New Roman" w:hAnsi="Times New Roman" w:eastAsia="宋体" w:cs="Times New Roman"/>
          <w:color w:val="auto"/>
        </w:rPr>
        <w:t xml:space="preserve">  不同神经缺损情况高血压脑出血患者血清VE-cadherin、S1P水平及凝血功能比较</w:t>
      </w:r>
    </w:p>
    <w:tbl>
      <w:tblPr>
        <w:tblStyle w:val="11"/>
        <w:tblW w:w="0" w:type="auto"/>
        <w:jc w:val="center"/>
        <w:tblBorders>
          <w:top w:val="single" w:color="000000" w:sz="6" w:space="0"/>
          <w:left w:val="none" w:color="auto" w:sz="0" w:space="0"/>
          <w:bottom w:val="single" w:color="000000"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00"/>
        <w:gridCol w:w="1475"/>
        <w:gridCol w:w="1535"/>
        <w:gridCol w:w="1603"/>
        <w:gridCol w:w="1648"/>
        <w:gridCol w:w="894"/>
        <w:gridCol w:w="638"/>
      </w:tblGrid>
      <w:tr w14:paraId="30F10E33">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0" w:type="auto"/>
            <w:tcBorders>
              <w:top w:val="single" w:color="000000" w:sz="6" w:space="0"/>
              <w:left w:val="nil"/>
              <w:bottom w:val="single" w:color="000000" w:sz="2" w:space="0"/>
              <w:right w:val="nil"/>
            </w:tcBorders>
            <w:tcMar>
              <w:top w:w="23" w:type="dxa"/>
              <w:left w:w="23" w:type="dxa"/>
              <w:bottom w:w="23" w:type="dxa"/>
              <w:right w:w="23" w:type="dxa"/>
            </w:tcMar>
            <w:vAlign w:val="center"/>
          </w:tcPr>
          <w:p w14:paraId="5313506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项目</w:t>
            </w:r>
            <w:bookmarkStart w:id="2" w:name="FX_TBL_ID800033B2"/>
            <w:bookmarkEnd w:id="2"/>
          </w:p>
        </w:tc>
        <w:tc>
          <w:tcPr>
            <w:tcW w:w="0" w:type="auto"/>
            <w:tcBorders>
              <w:top w:val="single" w:color="000000" w:sz="6" w:space="0"/>
              <w:left w:val="nil"/>
              <w:bottom w:val="single" w:color="000000" w:sz="2" w:space="0"/>
              <w:right w:val="nil"/>
            </w:tcBorders>
            <w:tcMar>
              <w:top w:w="23" w:type="dxa"/>
              <w:left w:w="23" w:type="dxa"/>
              <w:bottom w:w="23" w:type="dxa"/>
              <w:right w:w="23" w:type="dxa"/>
            </w:tcMar>
            <w:vAlign w:val="center"/>
          </w:tcPr>
          <w:p w14:paraId="26FFA2C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轻度缺损组</w:t>
            </w:r>
          </w:p>
          <w:p w14:paraId="3815A58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w:t>
            </w:r>
            <w:r>
              <w:rPr>
                <w:rFonts w:ascii="Times New Roman" w:hAnsi="Times New Roman" w:eastAsia="宋体" w:cs="Times New Roman"/>
                <w:i/>
                <w:color w:val="auto"/>
                <w:sz w:val="21"/>
              </w:rPr>
              <w:t>n=</w:t>
            </w:r>
            <w:r>
              <w:rPr>
                <w:rFonts w:ascii="Times New Roman" w:hAnsi="Times New Roman" w:eastAsia="宋体" w:cs="Times New Roman"/>
                <w:color w:val="auto"/>
                <w:sz w:val="21"/>
              </w:rPr>
              <w:t>41）</w:t>
            </w:r>
          </w:p>
        </w:tc>
        <w:tc>
          <w:tcPr>
            <w:tcW w:w="0" w:type="auto"/>
            <w:tcBorders>
              <w:top w:val="single" w:color="000000" w:sz="6" w:space="0"/>
              <w:left w:val="nil"/>
              <w:bottom w:val="single" w:color="000000" w:sz="2" w:space="0"/>
              <w:right w:val="nil"/>
            </w:tcBorders>
            <w:tcMar>
              <w:top w:w="23" w:type="dxa"/>
              <w:left w:w="23" w:type="dxa"/>
              <w:bottom w:w="23" w:type="dxa"/>
              <w:right w:w="23" w:type="dxa"/>
            </w:tcMar>
            <w:vAlign w:val="center"/>
          </w:tcPr>
          <w:p w14:paraId="317D27E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中度缺损组</w:t>
            </w:r>
          </w:p>
          <w:p w14:paraId="2971AC2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w:t>
            </w:r>
            <w:r>
              <w:rPr>
                <w:rFonts w:ascii="Times New Roman" w:hAnsi="Times New Roman" w:eastAsia="宋体" w:cs="Times New Roman"/>
                <w:i/>
                <w:color w:val="auto"/>
                <w:sz w:val="21"/>
              </w:rPr>
              <w:t>n=</w:t>
            </w:r>
            <w:r>
              <w:rPr>
                <w:rFonts w:ascii="Times New Roman" w:hAnsi="Times New Roman" w:eastAsia="宋体" w:cs="Times New Roman"/>
                <w:color w:val="auto"/>
                <w:sz w:val="21"/>
              </w:rPr>
              <w:t>33）</w:t>
            </w:r>
          </w:p>
        </w:tc>
        <w:tc>
          <w:tcPr>
            <w:tcW w:w="0" w:type="auto"/>
            <w:tcBorders>
              <w:top w:val="single" w:color="000000" w:sz="6" w:space="0"/>
              <w:left w:val="nil"/>
              <w:bottom w:val="single" w:color="000000" w:sz="2" w:space="0"/>
              <w:right w:val="nil"/>
            </w:tcBorders>
            <w:tcMar>
              <w:top w:w="23" w:type="dxa"/>
              <w:left w:w="23" w:type="dxa"/>
              <w:bottom w:w="23" w:type="dxa"/>
              <w:right w:w="23" w:type="dxa"/>
            </w:tcMar>
            <w:vAlign w:val="center"/>
          </w:tcPr>
          <w:p w14:paraId="08E6341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中重度缺损组</w:t>
            </w:r>
          </w:p>
          <w:p w14:paraId="0268A9E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w:t>
            </w:r>
            <w:r>
              <w:rPr>
                <w:rFonts w:ascii="Times New Roman" w:hAnsi="Times New Roman" w:eastAsia="宋体" w:cs="Times New Roman"/>
                <w:i/>
                <w:color w:val="auto"/>
                <w:sz w:val="21"/>
              </w:rPr>
              <w:t>n=</w:t>
            </w:r>
            <w:r>
              <w:rPr>
                <w:rFonts w:ascii="Times New Roman" w:hAnsi="Times New Roman" w:eastAsia="宋体" w:cs="Times New Roman"/>
                <w:color w:val="auto"/>
                <w:sz w:val="21"/>
              </w:rPr>
              <w:t>35）</w:t>
            </w:r>
          </w:p>
        </w:tc>
        <w:tc>
          <w:tcPr>
            <w:tcW w:w="0" w:type="auto"/>
            <w:tcBorders>
              <w:top w:val="single" w:color="000000" w:sz="6" w:space="0"/>
              <w:left w:val="nil"/>
              <w:bottom w:val="single" w:color="000000" w:sz="2" w:space="0"/>
              <w:right w:val="nil"/>
            </w:tcBorders>
            <w:tcMar>
              <w:top w:w="23" w:type="dxa"/>
              <w:left w:w="23" w:type="dxa"/>
              <w:bottom w:w="23" w:type="dxa"/>
              <w:right w:w="23" w:type="dxa"/>
            </w:tcMar>
            <w:vAlign w:val="center"/>
          </w:tcPr>
          <w:p w14:paraId="044BA79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重度缺损组</w:t>
            </w:r>
          </w:p>
          <w:p w14:paraId="6569121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w:t>
            </w:r>
            <w:r>
              <w:rPr>
                <w:rFonts w:ascii="Times New Roman" w:hAnsi="Times New Roman" w:eastAsia="宋体" w:cs="Times New Roman"/>
                <w:i/>
                <w:color w:val="auto"/>
                <w:sz w:val="21"/>
              </w:rPr>
              <w:t>n=</w:t>
            </w:r>
            <w:r>
              <w:rPr>
                <w:rFonts w:ascii="Times New Roman" w:hAnsi="Times New Roman" w:eastAsia="宋体" w:cs="Times New Roman"/>
                <w:color w:val="auto"/>
                <w:sz w:val="21"/>
              </w:rPr>
              <w:t>25）</w:t>
            </w:r>
          </w:p>
        </w:tc>
        <w:tc>
          <w:tcPr>
            <w:tcW w:w="894" w:type="dxa"/>
            <w:tcBorders>
              <w:top w:val="single" w:color="000000" w:sz="6" w:space="0"/>
              <w:left w:val="nil"/>
              <w:bottom w:val="single" w:color="000000" w:sz="2" w:space="0"/>
              <w:right w:val="nil"/>
            </w:tcBorders>
            <w:tcMar>
              <w:top w:w="23" w:type="dxa"/>
              <w:left w:w="23" w:type="dxa"/>
              <w:bottom w:w="23" w:type="dxa"/>
              <w:right w:w="23" w:type="dxa"/>
            </w:tcMar>
            <w:vAlign w:val="center"/>
          </w:tcPr>
          <w:p w14:paraId="0AE6E837">
            <w:pPr>
              <w:pStyle w:val="47"/>
              <w:spacing w:line="360" w:lineRule="auto"/>
              <w:rPr>
                <w:rFonts w:ascii="Times New Roman" w:hAnsi="Times New Roman" w:eastAsia="宋体" w:cs="Times New Roman"/>
                <w:color w:val="auto"/>
                <w:sz w:val="21"/>
              </w:rPr>
            </w:pPr>
            <w:r>
              <w:rPr>
                <w:rFonts w:ascii="Times New Roman" w:hAnsi="Times New Roman" w:eastAsia="宋体" w:cs="Times New Roman"/>
                <w:iCs/>
                <w:color w:val="auto"/>
                <w:sz w:val="21"/>
              </w:rPr>
              <w:t>统计值</w:t>
            </w:r>
          </w:p>
        </w:tc>
        <w:tc>
          <w:tcPr>
            <w:tcW w:w="638" w:type="dxa"/>
            <w:tcBorders>
              <w:top w:val="single" w:color="000000" w:sz="6" w:space="0"/>
              <w:left w:val="nil"/>
              <w:bottom w:val="single" w:color="000000" w:sz="2" w:space="0"/>
              <w:right w:val="nil"/>
            </w:tcBorders>
            <w:tcMar>
              <w:top w:w="23" w:type="dxa"/>
              <w:left w:w="23" w:type="dxa"/>
              <w:bottom w:w="23" w:type="dxa"/>
              <w:right w:w="23" w:type="dxa"/>
            </w:tcMar>
            <w:vAlign w:val="center"/>
          </w:tcPr>
          <w:p w14:paraId="57674C90">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rPr>
              <w:t>P</w:t>
            </w:r>
            <w:r>
              <w:rPr>
                <w:rFonts w:ascii="Times New Roman" w:hAnsi="Times New Roman" w:eastAsia="宋体" w:cs="Times New Roman"/>
                <w:color w:val="auto"/>
                <w:sz w:val="21"/>
                <w:vertAlign w:val="subscript"/>
              </w:rPr>
              <w:t>趋势</w:t>
            </w:r>
            <w:r>
              <w:rPr>
                <w:rFonts w:ascii="Times New Roman" w:hAnsi="Times New Roman" w:eastAsia="宋体" w:cs="Times New Roman"/>
                <w:color w:val="auto"/>
                <w:sz w:val="21"/>
              </w:rPr>
              <w:t>值</w:t>
            </w:r>
          </w:p>
        </w:tc>
      </w:tr>
      <w:tr w14:paraId="627E422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jc w:val="center"/>
        </w:trPr>
        <w:tc>
          <w:tcPr>
            <w:tcW w:w="0" w:type="auto"/>
            <w:tcBorders>
              <w:top w:val="nil"/>
              <w:left w:val="nil"/>
              <w:bottom w:val="nil"/>
              <w:right w:val="nil"/>
            </w:tcBorders>
            <w:tcMar>
              <w:top w:w="23" w:type="dxa"/>
              <w:left w:w="23" w:type="dxa"/>
              <w:bottom w:w="23" w:type="dxa"/>
              <w:right w:w="23" w:type="dxa"/>
            </w:tcMar>
            <w:vAlign w:val="center"/>
          </w:tcPr>
          <w:p w14:paraId="080EBAF7">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S1P（ng/mL，</w:t>
            </w:r>
            <w:r>
              <w:rPr>
                <w:rFonts w:ascii="Times New Roman" w:hAnsi="Times New Roman" w:eastAsia="宋体" w:cs="Times New Roman"/>
                <w:color w:val="auto"/>
                <w:position w:val="-6"/>
                <w:sz w:val="21"/>
                <w:szCs w:val="21"/>
              </w:rPr>
              <w:object>
                <v:shape id="_x0000_i1032"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2" DrawAspect="Content" ObjectID="_1468075732" r:id="rId12">
                  <o:LockedField>false</o:LockedField>
                </o:OLEObject>
              </w:object>
            </w:r>
            <w:r>
              <w:rPr>
                <w:rFonts w:ascii="Times New Roman" w:hAnsi="Times New Roman" w:eastAsia="宋体" w:cs="Times New Roman"/>
                <w:color w:val="auto"/>
                <w:sz w:val="21"/>
              </w:rPr>
              <w:t>）</w:t>
            </w:r>
          </w:p>
        </w:tc>
        <w:tc>
          <w:tcPr>
            <w:tcW w:w="0" w:type="auto"/>
            <w:tcBorders>
              <w:top w:val="nil"/>
              <w:left w:val="nil"/>
              <w:bottom w:val="nil"/>
              <w:right w:val="nil"/>
            </w:tcBorders>
            <w:tcMar>
              <w:top w:w="23" w:type="dxa"/>
              <w:left w:w="23" w:type="dxa"/>
              <w:bottom w:w="23" w:type="dxa"/>
              <w:right w:w="23" w:type="dxa"/>
            </w:tcMar>
            <w:vAlign w:val="center"/>
          </w:tcPr>
          <w:p w14:paraId="38275A97">
            <w:pPr>
              <w:pStyle w:val="47"/>
              <w:spacing w:line="360" w:lineRule="auto"/>
              <w:rPr>
                <w:rFonts w:hint="eastAsia" w:ascii="Times New Roman" w:hAnsi="Times New Roman" w:eastAsia="宋体" w:cs="Times New Roman"/>
                <w:color w:val="auto"/>
                <w:sz w:val="21"/>
                <w:lang w:eastAsia="zh-CN"/>
              </w:rPr>
            </w:pPr>
            <w:r>
              <w:rPr>
                <w:rFonts w:ascii="Times New Roman" w:hAnsi="Times New Roman" w:eastAsia="宋体" w:cs="Times New Roman"/>
                <w:color w:val="auto"/>
                <w:sz w:val="21"/>
              </w:rPr>
              <w:t>245.</w:t>
            </w:r>
            <w:r>
              <w:rPr>
                <w:rFonts w:hint="eastAsia" w:ascii="Times New Roman" w:hAnsi="Times New Roman" w:eastAsia="宋体" w:cs="Times New Roman"/>
                <w:color w:val="auto"/>
                <w:sz w:val="21"/>
                <w:lang w:val="en-US" w:eastAsia="zh-CN"/>
              </w:rPr>
              <w:t>4</w:t>
            </w:r>
            <w:r>
              <w:rPr>
                <w:rFonts w:ascii="Times New Roman" w:hAnsi="Times New Roman" w:eastAsia="宋体" w:cs="Times New Roman"/>
                <w:color w:val="auto"/>
                <w:sz w:val="21"/>
              </w:rPr>
              <w:t>8±26.6</w:t>
            </w:r>
            <w:r>
              <w:rPr>
                <w:rFonts w:hint="eastAsia" w:ascii="Times New Roman" w:hAnsi="Times New Roman" w:eastAsia="宋体" w:cs="Times New Roman"/>
                <w:color w:val="auto"/>
                <w:sz w:val="21"/>
                <w:lang w:val="en-US" w:eastAsia="zh-CN"/>
              </w:rPr>
              <w:t>7</w:t>
            </w:r>
          </w:p>
        </w:tc>
        <w:tc>
          <w:tcPr>
            <w:tcW w:w="0" w:type="auto"/>
            <w:tcBorders>
              <w:top w:val="nil"/>
              <w:left w:val="nil"/>
              <w:bottom w:val="nil"/>
              <w:right w:val="nil"/>
            </w:tcBorders>
            <w:tcMar>
              <w:top w:w="23" w:type="dxa"/>
              <w:left w:w="23" w:type="dxa"/>
              <w:bottom w:w="23" w:type="dxa"/>
              <w:right w:w="23" w:type="dxa"/>
            </w:tcMar>
            <w:vAlign w:val="center"/>
          </w:tcPr>
          <w:p w14:paraId="58CB29E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28</w:t>
            </w:r>
            <w:r>
              <w:rPr>
                <w:rFonts w:hint="eastAsia" w:ascii="Times New Roman" w:hAnsi="Times New Roman" w:eastAsia="宋体" w:cs="Times New Roman"/>
                <w:color w:val="auto"/>
                <w:sz w:val="21"/>
                <w:lang w:val="en-US" w:eastAsia="zh-CN"/>
              </w:rPr>
              <w:t>7.49</w:t>
            </w:r>
            <w:r>
              <w:rPr>
                <w:rFonts w:ascii="Times New Roman" w:hAnsi="Times New Roman" w:eastAsia="宋体" w:cs="Times New Roman"/>
                <w:color w:val="auto"/>
                <w:sz w:val="21"/>
              </w:rPr>
              <w:t>±15.4</w:t>
            </w:r>
            <w:r>
              <w:rPr>
                <w:rFonts w:hint="eastAsia" w:ascii="Times New Roman" w:hAnsi="Times New Roman" w:eastAsia="宋体" w:cs="Times New Roman"/>
                <w:color w:val="auto"/>
                <w:sz w:val="21"/>
                <w:lang w:val="en-US" w:eastAsia="zh-CN"/>
              </w:rPr>
              <w:t>1</w:t>
            </w:r>
            <w:r>
              <w:rPr>
                <w:rFonts w:ascii="Times New Roman" w:hAnsi="Times New Roman" w:eastAsia="宋体" w:cs="Times New Roman"/>
                <w:color w:val="auto"/>
                <w:sz w:val="21"/>
                <w:vertAlign w:val="superscript"/>
              </w:rPr>
              <w:t>a</w:t>
            </w:r>
          </w:p>
        </w:tc>
        <w:tc>
          <w:tcPr>
            <w:tcW w:w="0" w:type="auto"/>
            <w:tcBorders>
              <w:top w:val="nil"/>
              <w:left w:val="nil"/>
              <w:bottom w:val="nil"/>
              <w:right w:val="nil"/>
            </w:tcBorders>
            <w:tcMar>
              <w:top w:w="23" w:type="dxa"/>
              <w:left w:w="23" w:type="dxa"/>
              <w:bottom w:w="23" w:type="dxa"/>
              <w:right w:w="23" w:type="dxa"/>
            </w:tcMar>
            <w:vAlign w:val="center"/>
          </w:tcPr>
          <w:p w14:paraId="05141F2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30</w:t>
            </w:r>
            <w:r>
              <w:rPr>
                <w:rFonts w:hint="eastAsia" w:ascii="Times New Roman" w:hAnsi="Times New Roman" w:eastAsia="宋体" w:cs="Times New Roman"/>
                <w:color w:val="auto"/>
                <w:sz w:val="21"/>
                <w:lang w:val="en-US" w:eastAsia="zh-CN"/>
              </w:rPr>
              <w:t>5.59</w:t>
            </w:r>
            <w:r>
              <w:rPr>
                <w:rFonts w:ascii="Times New Roman" w:hAnsi="Times New Roman" w:eastAsia="宋体" w:cs="Times New Roman"/>
                <w:color w:val="auto"/>
                <w:sz w:val="21"/>
              </w:rPr>
              <w:t>±25.</w:t>
            </w:r>
            <w:r>
              <w:rPr>
                <w:rFonts w:hint="eastAsia" w:ascii="Times New Roman" w:hAnsi="Times New Roman" w:eastAsia="宋体" w:cs="Times New Roman"/>
                <w:color w:val="auto"/>
                <w:sz w:val="21"/>
                <w:lang w:val="en-US" w:eastAsia="zh-CN"/>
              </w:rPr>
              <w:t>86</w:t>
            </w:r>
            <w:r>
              <w:rPr>
                <w:rFonts w:ascii="Times New Roman" w:hAnsi="Times New Roman" w:eastAsia="宋体" w:cs="Times New Roman"/>
                <w:color w:val="auto"/>
                <w:sz w:val="21"/>
                <w:vertAlign w:val="superscript"/>
              </w:rPr>
              <w:t>bc</w:t>
            </w:r>
          </w:p>
        </w:tc>
        <w:tc>
          <w:tcPr>
            <w:tcW w:w="0" w:type="auto"/>
            <w:tcBorders>
              <w:top w:val="nil"/>
              <w:left w:val="nil"/>
              <w:bottom w:val="nil"/>
              <w:right w:val="nil"/>
            </w:tcBorders>
            <w:tcMar>
              <w:top w:w="23" w:type="dxa"/>
              <w:left w:w="23" w:type="dxa"/>
              <w:bottom w:w="23" w:type="dxa"/>
              <w:right w:w="23" w:type="dxa"/>
            </w:tcMar>
            <w:vAlign w:val="center"/>
          </w:tcPr>
          <w:p w14:paraId="6FFAC0A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331.</w:t>
            </w:r>
            <w:r>
              <w:rPr>
                <w:rFonts w:hint="eastAsia" w:ascii="Times New Roman" w:hAnsi="Times New Roman" w:eastAsia="宋体" w:cs="Times New Roman"/>
                <w:color w:val="auto"/>
                <w:sz w:val="21"/>
                <w:lang w:val="en-US" w:eastAsia="zh-CN"/>
              </w:rPr>
              <w:t>51</w:t>
            </w:r>
            <w:r>
              <w:rPr>
                <w:rFonts w:ascii="Times New Roman" w:hAnsi="Times New Roman" w:eastAsia="宋体" w:cs="Times New Roman"/>
                <w:color w:val="auto"/>
                <w:sz w:val="21"/>
              </w:rPr>
              <w:t>±2</w:t>
            </w:r>
            <w:r>
              <w:rPr>
                <w:rFonts w:hint="eastAsia" w:ascii="Times New Roman" w:hAnsi="Times New Roman" w:eastAsia="宋体" w:cs="Times New Roman"/>
                <w:color w:val="auto"/>
                <w:sz w:val="21"/>
                <w:lang w:val="en-US" w:eastAsia="zh-CN"/>
              </w:rPr>
              <w:t>3.00</w:t>
            </w:r>
            <w:r>
              <w:rPr>
                <w:rFonts w:ascii="Times New Roman" w:hAnsi="Times New Roman" w:eastAsia="宋体" w:cs="Times New Roman"/>
                <w:color w:val="auto"/>
                <w:sz w:val="21"/>
                <w:vertAlign w:val="superscript"/>
              </w:rPr>
              <w:t>def</w:t>
            </w:r>
          </w:p>
        </w:tc>
        <w:tc>
          <w:tcPr>
            <w:tcW w:w="894" w:type="dxa"/>
            <w:tcBorders>
              <w:top w:val="nil"/>
              <w:left w:val="nil"/>
              <w:bottom w:val="nil"/>
              <w:right w:val="nil"/>
            </w:tcBorders>
            <w:tcMar>
              <w:top w:w="23" w:type="dxa"/>
              <w:left w:w="23" w:type="dxa"/>
              <w:bottom w:w="23" w:type="dxa"/>
              <w:right w:w="23" w:type="dxa"/>
            </w:tcMar>
            <w:vAlign w:val="center"/>
          </w:tcPr>
          <w:p w14:paraId="01BE9394">
            <w:pPr>
              <w:pStyle w:val="47"/>
              <w:spacing w:line="360" w:lineRule="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i/>
                <w:iCs/>
                <w:color w:val="auto"/>
                <w:sz w:val="21"/>
                <w:lang w:val="en-US" w:eastAsia="zh-CN"/>
              </w:rPr>
              <w:t>F</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82.281</w:t>
            </w:r>
          </w:p>
        </w:tc>
        <w:tc>
          <w:tcPr>
            <w:tcW w:w="638" w:type="dxa"/>
            <w:tcBorders>
              <w:top w:val="nil"/>
              <w:left w:val="nil"/>
              <w:bottom w:val="nil"/>
              <w:right w:val="nil"/>
            </w:tcBorders>
            <w:tcMar>
              <w:top w:w="23" w:type="dxa"/>
              <w:left w:w="23" w:type="dxa"/>
              <w:bottom w:w="23" w:type="dxa"/>
              <w:right w:w="23" w:type="dxa"/>
            </w:tcMar>
            <w:vAlign w:val="center"/>
          </w:tcPr>
          <w:p w14:paraId="0730497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77EEE98A">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 w:hRule="atLeast"/>
          <w:jc w:val="center"/>
        </w:trPr>
        <w:tc>
          <w:tcPr>
            <w:tcW w:w="0" w:type="auto"/>
            <w:tcBorders>
              <w:top w:val="nil"/>
              <w:left w:val="nil"/>
              <w:bottom w:val="nil"/>
              <w:right w:val="nil"/>
            </w:tcBorders>
            <w:tcMar>
              <w:top w:w="23" w:type="dxa"/>
              <w:left w:w="23" w:type="dxa"/>
              <w:bottom w:w="23" w:type="dxa"/>
              <w:right w:w="23" w:type="dxa"/>
            </w:tcMar>
            <w:vAlign w:val="center"/>
          </w:tcPr>
          <w:p w14:paraId="7CE04418">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FIB（g/L，</w:t>
            </w:r>
            <w:r>
              <w:rPr>
                <w:rFonts w:ascii="Times New Roman" w:hAnsi="Times New Roman" w:eastAsia="宋体" w:cs="Times New Roman"/>
                <w:color w:val="auto"/>
                <w:position w:val="-6"/>
                <w:sz w:val="21"/>
                <w:szCs w:val="21"/>
              </w:rPr>
              <w:object>
                <v:shape id="_x0000_i1033"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3" DrawAspect="Content" ObjectID="_1468075733" r:id="rId13">
                  <o:LockedField>false</o:LockedField>
                </o:OLEObject>
              </w:object>
            </w:r>
            <w:r>
              <w:rPr>
                <w:rFonts w:ascii="Times New Roman" w:hAnsi="Times New Roman" w:eastAsia="宋体" w:cs="Times New Roman"/>
                <w:color w:val="auto"/>
                <w:sz w:val="21"/>
              </w:rPr>
              <w:t>）</w:t>
            </w:r>
          </w:p>
        </w:tc>
        <w:tc>
          <w:tcPr>
            <w:tcW w:w="0" w:type="auto"/>
            <w:tcBorders>
              <w:top w:val="nil"/>
              <w:left w:val="nil"/>
              <w:bottom w:val="nil"/>
              <w:right w:val="nil"/>
            </w:tcBorders>
            <w:tcMar>
              <w:top w:w="23" w:type="dxa"/>
              <w:left w:w="23" w:type="dxa"/>
              <w:bottom w:w="23" w:type="dxa"/>
              <w:right w:w="23" w:type="dxa"/>
            </w:tcMar>
            <w:vAlign w:val="center"/>
          </w:tcPr>
          <w:p w14:paraId="42A13C8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3.5</w:t>
            </w:r>
            <w:r>
              <w:rPr>
                <w:rFonts w:hint="eastAsia" w:ascii="Times New Roman" w:hAnsi="Times New Roman" w:eastAsia="宋体" w:cs="Times New Roman"/>
                <w:color w:val="auto"/>
                <w:sz w:val="21"/>
                <w:lang w:val="en-US" w:eastAsia="zh-CN"/>
              </w:rPr>
              <w:t>5</w:t>
            </w:r>
            <w:r>
              <w:rPr>
                <w:rFonts w:ascii="Times New Roman" w:hAnsi="Times New Roman" w:eastAsia="宋体" w:cs="Times New Roman"/>
                <w:color w:val="auto"/>
                <w:sz w:val="21"/>
              </w:rPr>
              <w:t>±0.32</w:t>
            </w:r>
          </w:p>
        </w:tc>
        <w:tc>
          <w:tcPr>
            <w:tcW w:w="0" w:type="auto"/>
            <w:tcBorders>
              <w:top w:val="nil"/>
              <w:left w:val="nil"/>
              <w:bottom w:val="nil"/>
              <w:right w:val="nil"/>
            </w:tcBorders>
            <w:tcMar>
              <w:top w:w="23" w:type="dxa"/>
              <w:left w:w="23" w:type="dxa"/>
              <w:bottom w:w="23" w:type="dxa"/>
              <w:right w:w="23" w:type="dxa"/>
            </w:tcMar>
            <w:vAlign w:val="center"/>
          </w:tcPr>
          <w:p w14:paraId="3E9B47B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3.86±0.34</w:t>
            </w:r>
            <w:r>
              <w:rPr>
                <w:rFonts w:ascii="Times New Roman" w:hAnsi="Times New Roman" w:eastAsia="宋体" w:cs="Times New Roman"/>
                <w:color w:val="auto"/>
                <w:sz w:val="21"/>
                <w:vertAlign w:val="superscript"/>
              </w:rPr>
              <w:t>a</w:t>
            </w:r>
          </w:p>
        </w:tc>
        <w:tc>
          <w:tcPr>
            <w:tcW w:w="0" w:type="auto"/>
            <w:tcBorders>
              <w:top w:val="nil"/>
              <w:left w:val="nil"/>
              <w:bottom w:val="nil"/>
              <w:right w:val="nil"/>
            </w:tcBorders>
            <w:tcMar>
              <w:top w:w="23" w:type="dxa"/>
              <w:left w:w="23" w:type="dxa"/>
              <w:bottom w:w="23" w:type="dxa"/>
              <w:right w:w="23" w:type="dxa"/>
            </w:tcMar>
            <w:vAlign w:val="center"/>
          </w:tcPr>
          <w:p w14:paraId="661B981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4.1</w:t>
            </w:r>
            <w:r>
              <w:rPr>
                <w:rFonts w:hint="eastAsia" w:ascii="Times New Roman" w:hAnsi="Times New Roman" w:eastAsia="宋体" w:cs="Times New Roman"/>
                <w:color w:val="auto"/>
                <w:sz w:val="21"/>
                <w:lang w:val="en-US" w:eastAsia="zh-CN"/>
              </w:rPr>
              <w:t>1</w:t>
            </w:r>
            <w:r>
              <w:rPr>
                <w:rFonts w:ascii="Times New Roman" w:hAnsi="Times New Roman" w:eastAsia="宋体" w:cs="Times New Roman"/>
                <w:color w:val="auto"/>
                <w:sz w:val="21"/>
              </w:rPr>
              <w:t>±0.5</w:t>
            </w:r>
            <w:r>
              <w:rPr>
                <w:rFonts w:hint="eastAsia" w:ascii="Times New Roman" w:hAnsi="Times New Roman" w:eastAsia="宋体" w:cs="Times New Roman"/>
                <w:color w:val="auto"/>
                <w:sz w:val="21"/>
                <w:lang w:val="en-US" w:eastAsia="zh-CN"/>
              </w:rPr>
              <w:t>6</w:t>
            </w:r>
            <w:r>
              <w:rPr>
                <w:rFonts w:ascii="Times New Roman" w:hAnsi="Times New Roman" w:eastAsia="宋体" w:cs="Times New Roman"/>
                <w:color w:val="auto"/>
                <w:sz w:val="21"/>
                <w:vertAlign w:val="superscript"/>
              </w:rPr>
              <w:t>bc</w:t>
            </w:r>
          </w:p>
        </w:tc>
        <w:tc>
          <w:tcPr>
            <w:tcW w:w="0" w:type="auto"/>
            <w:tcBorders>
              <w:top w:val="nil"/>
              <w:left w:val="nil"/>
              <w:bottom w:val="nil"/>
              <w:right w:val="nil"/>
            </w:tcBorders>
            <w:tcMar>
              <w:top w:w="23" w:type="dxa"/>
              <w:left w:w="23" w:type="dxa"/>
              <w:bottom w:w="23" w:type="dxa"/>
              <w:right w:w="23" w:type="dxa"/>
            </w:tcMar>
            <w:vAlign w:val="center"/>
          </w:tcPr>
          <w:p w14:paraId="4BA77FC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w:t>
            </w:r>
            <w:r>
              <w:rPr>
                <w:rFonts w:hint="eastAsia" w:ascii="Times New Roman" w:hAnsi="Times New Roman" w:eastAsia="宋体" w:cs="Times New Roman"/>
                <w:color w:val="auto"/>
                <w:sz w:val="21"/>
                <w:lang w:eastAsia="zh-CN"/>
              </w:rPr>
              <w:t>4</w:t>
            </w:r>
            <w:r>
              <w:rPr>
                <w:rFonts w:hint="eastAsia" w:ascii="Times New Roman" w:hAnsi="Times New Roman" w:eastAsia="宋体" w:cs="Times New Roman"/>
                <w:color w:val="auto"/>
                <w:sz w:val="21"/>
                <w:lang w:val="en-US" w:eastAsia="zh-CN"/>
              </w:rPr>
              <w:t>8</w:t>
            </w:r>
            <w:r>
              <w:rPr>
                <w:rFonts w:ascii="Times New Roman" w:hAnsi="Times New Roman" w:eastAsia="宋体" w:cs="Times New Roman"/>
                <w:color w:val="auto"/>
                <w:sz w:val="21"/>
              </w:rPr>
              <w:t>±0.39</w:t>
            </w:r>
            <w:r>
              <w:rPr>
                <w:rFonts w:ascii="Times New Roman" w:hAnsi="Times New Roman" w:eastAsia="宋体" w:cs="Times New Roman"/>
                <w:color w:val="auto"/>
                <w:sz w:val="21"/>
                <w:vertAlign w:val="superscript"/>
              </w:rPr>
              <w:t>def</w:t>
            </w:r>
          </w:p>
        </w:tc>
        <w:tc>
          <w:tcPr>
            <w:tcW w:w="894" w:type="dxa"/>
            <w:tcBorders>
              <w:top w:val="nil"/>
              <w:left w:val="nil"/>
              <w:bottom w:val="nil"/>
              <w:right w:val="nil"/>
            </w:tcBorders>
            <w:tcMar>
              <w:top w:w="23" w:type="dxa"/>
              <w:left w:w="23" w:type="dxa"/>
              <w:bottom w:w="23" w:type="dxa"/>
              <w:right w:w="23" w:type="dxa"/>
            </w:tcMar>
            <w:vAlign w:val="center"/>
          </w:tcPr>
          <w:p w14:paraId="73DED18F">
            <w:pPr>
              <w:pStyle w:val="47"/>
              <w:spacing w:line="360" w:lineRule="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i/>
                <w:iCs/>
                <w:color w:val="auto"/>
                <w:sz w:val="21"/>
                <w:lang w:val="en-US" w:eastAsia="zh-CN"/>
              </w:rPr>
              <w:t>F</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29.742</w:t>
            </w:r>
          </w:p>
        </w:tc>
        <w:tc>
          <w:tcPr>
            <w:tcW w:w="638" w:type="dxa"/>
            <w:tcBorders>
              <w:top w:val="nil"/>
              <w:left w:val="nil"/>
              <w:bottom w:val="nil"/>
              <w:right w:val="nil"/>
            </w:tcBorders>
            <w:tcMar>
              <w:top w:w="23" w:type="dxa"/>
              <w:left w:w="23" w:type="dxa"/>
              <w:bottom w:w="23" w:type="dxa"/>
              <w:right w:w="23" w:type="dxa"/>
            </w:tcMar>
            <w:vAlign w:val="center"/>
          </w:tcPr>
          <w:p w14:paraId="461A3EF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69BB1212">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 w:hRule="atLeast"/>
          <w:jc w:val="center"/>
        </w:trPr>
        <w:tc>
          <w:tcPr>
            <w:tcW w:w="0" w:type="auto"/>
            <w:tcBorders>
              <w:top w:val="nil"/>
              <w:left w:val="nil"/>
              <w:bottom w:val="nil"/>
              <w:right w:val="nil"/>
            </w:tcBorders>
            <w:tcMar>
              <w:top w:w="23" w:type="dxa"/>
              <w:left w:w="23" w:type="dxa"/>
              <w:bottom w:w="23" w:type="dxa"/>
              <w:right w:w="23" w:type="dxa"/>
            </w:tcMar>
            <w:vAlign w:val="center"/>
          </w:tcPr>
          <w:p w14:paraId="2382427A">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PT（s，</w:t>
            </w:r>
            <w:r>
              <w:rPr>
                <w:rFonts w:ascii="Times New Roman" w:hAnsi="Times New Roman" w:eastAsia="宋体" w:cs="Times New Roman"/>
                <w:color w:val="auto"/>
                <w:position w:val="-6"/>
                <w:sz w:val="21"/>
                <w:szCs w:val="21"/>
              </w:rPr>
              <w:object>
                <v:shape id="_x0000_i1034"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4" DrawAspect="Content" ObjectID="_1468075734" r:id="rId14">
                  <o:LockedField>false</o:LockedField>
                </o:OLEObject>
              </w:object>
            </w:r>
            <w:r>
              <w:rPr>
                <w:rFonts w:ascii="Times New Roman" w:hAnsi="Times New Roman" w:eastAsia="宋体" w:cs="Times New Roman"/>
                <w:color w:val="auto"/>
                <w:sz w:val="21"/>
              </w:rPr>
              <w:t>）</w:t>
            </w:r>
          </w:p>
        </w:tc>
        <w:tc>
          <w:tcPr>
            <w:tcW w:w="0" w:type="auto"/>
            <w:tcBorders>
              <w:top w:val="nil"/>
              <w:left w:val="nil"/>
              <w:bottom w:val="nil"/>
              <w:right w:val="nil"/>
            </w:tcBorders>
            <w:tcMar>
              <w:top w:w="23" w:type="dxa"/>
              <w:left w:w="23" w:type="dxa"/>
              <w:bottom w:w="23" w:type="dxa"/>
              <w:right w:w="23" w:type="dxa"/>
            </w:tcMar>
            <w:vAlign w:val="center"/>
          </w:tcPr>
          <w:p w14:paraId="573D1929">
            <w:pPr>
              <w:pStyle w:val="47"/>
              <w:spacing w:line="360" w:lineRule="auto"/>
              <w:rPr>
                <w:rFonts w:hint="eastAsia" w:ascii="Times New Roman" w:hAnsi="Times New Roman" w:eastAsia="宋体" w:cs="Times New Roman"/>
                <w:color w:val="auto"/>
                <w:sz w:val="21"/>
                <w:lang w:eastAsia="zh-CN"/>
              </w:rPr>
            </w:pPr>
            <w:r>
              <w:rPr>
                <w:rFonts w:ascii="Times New Roman" w:hAnsi="Times New Roman" w:eastAsia="宋体" w:cs="Times New Roman"/>
                <w:color w:val="auto"/>
                <w:sz w:val="21"/>
              </w:rPr>
              <w:t>1</w:t>
            </w:r>
            <w:r>
              <w:rPr>
                <w:rFonts w:hint="eastAsia" w:ascii="Times New Roman" w:hAnsi="Times New Roman" w:eastAsia="宋体" w:cs="Times New Roman"/>
                <w:color w:val="auto"/>
                <w:sz w:val="21"/>
                <w:lang w:val="en-US" w:eastAsia="zh-CN"/>
              </w:rPr>
              <w:t>3.00</w:t>
            </w:r>
            <w:r>
              <w:rPr>
                <w:rFonts w:ascii="Times New Roman" w:hAnsi="Times New Roman" w:eastAsia="宋体" w:cs="Times New Roman"/>
                <w:color w:val="auto"/>
                <w:sz w:val="21"/>
              </w:rPr>
              <w:t>±2.3</w:t>
            </w:r>
            <w:r>
              <w:rPr>
                <w:rFonts w:hint="eastAsia" w:ascii="Times New Roman" w:hAnsi="Times New Roman" w:eastAsia="宋体" w:cs="Times New Roman"/>
                <w:color w:val="auto"/>
                <w:sz w:val="21"/>
                <w:lang w:val="en-US" w:eastAsia="zh-CN"/>
              </w:rPr>
              <w:t>7</w:t>
            </w:r>
          </w:p>
        </w:tc>
        <w:tc>
          <w:tcPr>
            <w:tcW w:w="0" w:type="auto"/>
            <w:tcBorders>
              <w:top w:val="nil"/>
              <w:left w:val="nil"/>
              <w:bottom w:val="nil"/>
              <w:right w:val="nil"/>
            </w:tcBorders>
            <w:tcMar>
              <w:top w:w="23" w:type="dxa"/>
              <w:left w:w="23" w:type="dxa"/>
              <w:bottom w:w="23" w:type="dxa"/>
              <w:right w:w="23" w:type="dxa"/>
            </w:tcMar>
            <w:vAlign w:val="center"/>
          </w:tcPr>
          <w:p w14:paraId="5DFB27BD">
            <w:pPr>
              <w:pStyle w:val="47"/>
              <w:spacing w:line="360" w:lineRule="auto"/>
              <w:rPr>
                <w:rFonts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1</w:t>
            </w:r>
            <w:r>
              <w:rPr>
                <w:rFonts w:hint="eastAsia" w:ascii="Times New Roman" w:hAnsi="Times New Roman" w:eastAsia="宋体" w:cs="Times New Roman"/>
                <w:color w:val="auto"/>
                <w:sz w:val="21"/>
                <w:lang w:val="en-US" w:eastAsia="zh-CN"/>
              </w:rPr>
              <w:t>5.07</w:t>
            </w:r>
            <w:r>
              <w:rPr>
                <w:rFonts w:ascii="Times New Roman" w:hAnsi="Times New Roman" w:eastAsia="宋体" w:cs="Times New Roman"/>
                <w:color w:val="auto"/>
                <w:sz w:val="21"/>
              </w:rPr>
              <w:t>±2.74</w:t>
            </w:r>
            <w:r>
              <w:rPr>
                <w:rFonts w:ascii="Times New Roman" w:hAnsi="Times New Roman" w:eastAsia="宋体" w:cs="Times New Roman"/>
                <w:color w:val="auto"/>
                <w:sz w:val="21"/>
                <w:vertAlign w:val="superscript"/>
              </w:rPr>
              <w:t>a</w:t>
            </w:r>
          </w:p>
        </w:tc>
        <w:tc>
          <w:tcPr>
            <w:tcW w:w="0" w:type="auto"/>
            <w:tcBorders>
              <w:top w:val="nil"/>
              <w:left w:val="nil"/>
              <w:bottom w:val="nil"/>
              <w:right w:val="nil"/>
            </w:tcBorders>
            <w:tcMar>
              <w:top w:w="23" w:type="dxa"/>
              <w:left w:w="23" w:type="dxa"/>
              <w:bottom w:w="23" w:type="dxa"/>
              <w:right w:w="23" w:type="dxa"/>
            </w:tcMar>
            <w:vAlign w:val="center"/>
          </w:tcPr>
          <w:p w14:paraId="07306271">
            <w:pPr>
              <w:pStyle w:val="47"/>
              <w:spacing w:line="360" w:lineRule="auto"/>
              <w:rPr>
                <w:rFonts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1</w:t>
            </w:r>
            <w:r>
              <w:rPr>
                <w:rFonts w:hint="eastAsia" w:ascii="Times New Roman" w:hAnsi="Times New Roman" w:eastAsia="宋体" w:cs="Times New Roman"/>
                <w:color w:val="auto"/>
                <w:sz w:val="21"/>
                <w:lang w:val="en-US" w:eastAsia="zh-CN"/>
              </w:rPr>
              <w:t>6.95</w:t>
            </w:r>
            <w:r>
              <w:rPr>
                <w:rFonts w:ascii="Times New Roman" w:hAnsi="Times New Roman" w:eastAsia="宋体" w:cs="Times New Roman"/>
                <w:color w:val="auto"/>
                <w:sz w:val="21"/>
              </w:rPr>
              <w:t>±2.</w:t>
            </w:r>
            <w:r>
              <w:rPr>
                <w:rFonts w:hint="eastAsia" w:ascii="Times New Roman" w:hAnsi="Times New Roman" w:eastAsia="宋体" w:cs="Times New Roman"/>
                <w:color w:val="auto"/>
                <w:sz w:val="21"/>
                <w:lang w:val="en-US" w:eastAsia="zh-CN"/>
              </w:rPr>
              <w:t>71</w:t>
            </w:r>
            <w:r>
              <w:rPr>
                <w:rFonts w:ascii="Times New Roman" w:hAnsi="Times New Roman" w:eastAsia="宋体" w:cs="Times New Roman"/>
                <w:color w:val="auto"/>
                <w:sz w:val="21"/>
                <w:vertAlign w:val="superscript"/>
              </w:rPr>
              <w:t>bc</w:t>
            </w:r>
          </w:p>
        </w:tc>
        <w:tc>
          <w:tcPr>
            <w:tcW w:w="0" w:type="auto"/>
            <w:tcBorders>
              <w:top w:val="nil"/>
              <w:left w:val="nil"/>
              <w:bottom w:val="nil"/>
              <w:right w:val="nil"/>
            </w:tcBorders>
            <w:tcMar>
              <w:top w:w="23" w:type="dxa"/>
              <w:left w:w="23" w:type="dxa"/>
              <w:bottom w:w="23" w:type="dxa"/>
              <w:right w:w="23" w:type="dxa"/>
            </w:tcMar>
            <w:vAlign w:val="center"/>
          </w:tcPr>
          <w:p w14:paraId="663D484A">
            <w:pPr>
              <w:pStyle w:val="47"/>
              <w:spacing w:line="360" w:lineRule="auto"/>
              <w:rPr>
                <w:rFonts w:ascii="Times New Roman" w:hAnsi="Times New Roman" w:eastAsia="宋体" w:cs="Times New Roman"/>
                <w:color w:val="auto"/>
                <w:sz w:val="21"/>
              </w:rPr>
            </w:pPr>
            <w:r>
              <w:rPr>
                <w:rFonts w:hint="eastAsia" w:ascii="Times New Roman" w:hAnsi="Times New Roman" w:eastAsia="宋体" w:cs="Times New Roman"/>
                <w:color w:val="auto"/>
                <w:sz w:val="21"/>
                <w:lang w:eastAsia="zh-CN"/>
              </w:rPr>
              <w:t>1</w:t>
            </w:r>
            <w:r>
              <w:rPr>
                <w:rFonts w:hint="eastAsia" w:ascii="Times New Roman" w:hAnsi="Times New Roman" w:eastAsia="宋体" w:cs="Times New Roman"/>
                <w:color w:val="auto"/>
                <w:sz w:val="21"/>
                <w:lang w:val="en-US" w:eastAsia="zh-CN"/>
              </w:rPr>
              <w:t>9.00</w:t>
            </w:r>
            <w:r>
              <w:rPr>
                <w:rFonts w:ascii="Times New Roman" w:hAnsi="Times New Roman" w:eastAsia="宋体" w:cs="Times New Roman"/>
                <w:color w:val="auto"/>
                <w:sz w:val="21"/>
              </w:rPr>
              <w:t>±3.1</w:t>
            </w:r>
            <w:r>
              <w:rPr>
                <w:rFonts w:hint="eastAsia" w:ascii="Times New Roman" w:hAnsi="Times New Roman" w:eastAsia="宋体" w:cs="Times New Roman"/>
                <w:color w:val="auto"/>
                <w:sz w:val="21"/>
                <w:lang w:val="en-US" w:eastAsia="zh-CN"/>
              </w:rPr>
              <w:t>1</w:t>
            </w:r>
            <w:r>
              <w:rPr>
                <w:rFonts w:ascii="Times New Roman" w:hAnsi="Times New Roman" w:eastAsia="宋体" w:cs="Times New Roman"/>
                <w:color w:val="auto"/>
                <w:sz w:val="21"/>
                <w:vertAlign w:val="superscript"/>
              </w:rPr>
              <w:t>def</w:t>
            </w:r>
          </w:p>
        </w:tc>
        <w:tc>
          <w:tcPr>
            <w:tcW w:w="894" w:type="dxa"/>
            <w:tcBorders>
              <w:top w:val="nil"/>
              <w:left w:val="nil"/>
              <w:bottom w:val="nil"/>
              <w:right w:val="nil"/>
            </w:tcBorders>
            <w:tcMar>
              <w:top w:w="23" w:type="dxa"/>
              <w:left w:w="23" w:type="dxa"/>
              <w:bottom w:w="23" w:type="dxa"/>
              <w:right w:w="23" w:type="dxa"/>
            </w:tcMar>
            <w:vAlign w:val="center"/>
          </w:tcPr>
          <w:p w14:paraId="580B2469">
            <w:pPr>
              <w:pStyle w:val="47"/>
              <w:spacing w:line="360" w:lineRule="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i/>
                <w:iCs/>
                <w:color w:val="auto"/>
                <w:sz w:val="21"/>
                <w:lang w:val="en-US" w:eastAsia="zh-CN"/>
              </w:rPr>
              <w:t>F</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29.630</w:t>
            </w:r>
          </w:p>
        </w:tc>
        <w:tc>
          <w:tcPr>
            <w:tcW w:w="638" w:type="dxa"/>
            <w:tcBorders>
              <w:top w:val="nil"/>
              <w:left w:val="nil"/>
              <w:bottom w:val="nil"/>
              <w:right w:val="nil"/>
            </w:tcBorders>
            <w:tcMar>
              <w:top w:w="23" w:type="dxa"/>
              <w:left w:w="23" w:type="dxa"/>
              <w:bottom w:w="23" w:type="dxa"/>
              <w:right w:w="23" w:type="dxa"/>
            </w:tcMar>
            <w:vAlign w:val="center"/>
          </w:tcPr>
          <w:p w14:paraId="3E80AEB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699ACC83">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 w:hRule="atLeast"/>
          <w:jc w:val="center"/>
        </w:trPr>
        <w:tc>
          <w:tcPr>
            <w:tcW w:w="0" w:type="auto"/>
            <w:tcBorders>
              <w:top w:val="nil"/>
              <w:left w:val="nil"/>
              <w:bottom w:val="nil"/>
              <w:right w:val="nil"/>
            </w:tcBorders>
            <w:tcMar>
              <w:top w:w="23" w:type="dxa"/>
              <w:left w:w="23" w:type="dxa"/>
              <w:bottom w:w="23" w:type="dxa"/>
              <w:right w:w="23" w:type="dxa"/>
            </w:tcMar>
            <w:vAlign w:val="center"/>
          </w:tcPr>
          <w:p w14:paraId="5EA70CF4">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APTT（s，</w:t>
            </w:r>
            <w:r>
              <w:rPr>
                <w:rFonts w:ascii="Times New Roman" w:hAnsi="Times New Roman" w:eastAsia="宋体" w:cs="Times New Roman"/>
                <w:color w:val="auto"/>
                <w:position w:val="-6"/>
                <w:sz w:val="21"/>
                <w:szCs w:val="21"/>
              </w:rPr>
              <w:object>
                <v:shape id="_x0000_i1035"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5" DrawAspect="Content" ObjectID="_1468075735" r:id="rId15">
                  <o:LockedField>false</o:LockedField>
                </o:OLEObject>
              </w:object>
            </w:r>
            <w:r>
              <w:rPr>
                <w:rFonts w:ascii="Times New Roman" w:hAnsi="Times New Roman" w:eastAsia="宋体" w:cs="Times New Roman"/>
                <w:color w:val="auto"/>
                <w:sz w:val="21"/>
              </w:rPr>
              <w:t>）</w:t>
            </w:r>
          </w:p>
        </w:tc>
        <w:tc>
          <w:tcPr>
            <w:tcW w:w="0" w:type="auto"/>
            <w:tcBorders>
              <w:top w:val="nil"/>
              <w:left w:val="nil"/>
              <w:bottom w:val="nil"/>
              <w:right w:val="nil"/>
            </w:tcBorders>
            <w:tcMar>
              <w:top w:w="23" w:type="dxa"/>
              <w:left w:w="23" w:type="dxa"/>
              <w:bottom w:w="23" w:type="dxa"/>
              <w:right w:w="23" w:type="dxa"/>
            </w:tcMar>
            <w:vAlign w:val="center"/>
          </w:tcPr>
          <w:p w14:paraId="49A8D6F7">
            <w:pPr>
              <w:pStyle w:val="47"/>
              <w:spacing w:line="360" w:lineRule="auto"/>
              <w:rPr>
                <w:rFonts w:hint="eastAsia" w:ascii="Times New Roman" w:hAnsi="Times New Roman" w:eastAsia="宋体" w:cs="Times New Roman"/>
                <w:color w:val="auto"/>
                <w:sz w:val="21"/>
                <w:highlight w:val="none"/>
                <w:lang w:eastAsia="zh-CN"/>
              </w:rPr>
            </w:pPr>
            <w:r>
              <w:rPr>
                <w:rFonts w:hint="eastAsia" w:ascii="Times New Roman" w:hAnsi="Times New Roman" w:eastAsia="宋体" w:cs="Times New Roman"/>
                <w:color w:val="auto"/>
                <w:sz w:val="21"/>
                <w:highlight w:val="none"/>
                <w:lang w:val="en-US" w:eastAsia="zh-CN"/>
              </w:rPr>
              <w:t>32.01</w:t>
            </w:r>
            <w:r>
              <w:rPr>
                <w:rFonts w:ascii="Times New Roman" w:hAnsi="Times New Roman" w:eastAsia="宋体" w:cs="Times New Roman"/>
                <w:color w:val="auto"/>
                <w:sz w:val="21"/>
                <w:highlight w:val="none"/>
              </w:rPr>
              <w:t>±4.4</w:t>
            </w:r>
            <w:r>
              <w:rPr>
                <w:rFonts w:hint="eastAsia" w:ascii="Times New Roman" w:hAnsi="Times New Roman" w:eastAsia="宋体" w:cs="Times New Roman"/>
                <w:color w:val="auto"/>
                <w:sz w:val="21"/>
                <w:highlight w:val="none"/>
                <w:lang w:val="en-US" w:eastAsia="zh-CN"/>
              </w:rPr>
              <w:t>4</w:t>
            </w:r>
          </w:p>
        </w:tc>
        <w:tc>
          <w:tcPr>
            <w:tcW w:w="0" w:type="auto"/>
            <w:tcBorders>
              <w:top w:val="nil"/>
              <w:left w:val="nil"/>
              <w:bottom w:val="nil"/>
              <w:right w:val="nil"/>
            </w:tcBorders>
            <w:tcMar>
              <w:top w:w="23" w:type="dxa"/>
              <w:left w:w="23" w:type="dxa"/>
              <w:bottom w:w="23" w:type="dxa"/>
              <w:right w:w="23" w:type="dxa"/>
            </w:tcMar>
            <w:vAlign w:val="center"/>
          </w:tcPr>
          <w:p w14:paraId="6D4B91E7">
            <w:pPr>
              <w:pStyle w:val="47"/>
              <w:spacing w:line="360" w:lineRule="auto"/>
              <w:rPr>
                <w:rFonts w:hint="eastAsia" w:ascii="Times New Roman" w:hAnsi="Times New Roman" w:eastAsia="宋体" w:cs="Times New Roman"/>
                <w:color w:val="auto"/>
                <w:sz w:val="21"/>
                <w:highlight w:val="none"/>
                <w:lang w:eastAsia="zh-CN"/>
              </w:rPr>
            </w:pPr>
            <w:r>
              <w:rPr>
                <w:rFonts w:ascii="Times New Roman" w:hAnsi="Times New Roman" w:eastAsia="宋体" w:cs="Times New Roman"/>
                <w:color w:val="auto"/>
                <w:sz w:val="21"/>
                <w:highlight w:val="none"/>
              </w:rPr>
              <w:t>34.</w:t>
            </w:r>
            <w:r>
              <w:rPr>
                <w:rFonts w:hint="eastAsia" w:ascii="Times New Roman" w:hAnsi="Times New Roman" w:eastAsia="宋体" w:cs="Times New Roman"/>
                <w:color w:val="auto"/>
                <w:sz w:val="21"/>
                <w:highlight w:val="none"/>
                <w:lang w:val="en-US" w:eastAsia="zh-CN"/>
              </w:rPr>
              <w:t>23</w:t>
            </w:r>
            <w:r>
              <w:rPr>
                <w:rFonts w:ascii="Times New Roman" w:hAnsi="Times New Roman" w:eastAsia="宋体" w:cs="Times New Roman"/>
                <w:color w:val="auto"/>
                <w:sz w:val="21"/>
                <w:highlight w:val="none"/>
              </w:rPr>
              <w:t>±4.5</w:t>
            </w:r>
            <w:r>
              <w:rPr>
                <w:rFonts w:hint="eastAsia" w:ascii="Times New Roman" w:hAnsi="Times New Roman" w:eastAsia="宋体" w:cs="Times New Roman"/>
                <w:color w:val="auto"/>
                <w:sz w:val="21"/>
                <w:highlight w:val="none"/>
                <w:lang w:val="en-US" w:eastAsia="zh-CN"/>
              </w:rPr>
              <w:t>0</w:t>
            </w:r>
          </w:p>
        </w:tc>
        <w:tc>
          <w:tcPr>
            <w:tcW w:w="0" w:type="auto"/>
            <w:tcBorders>
              <w:top w:val="nil"/>
              <w:left w:val="nil"/>
              <w:bottom w:val="nil"/>
              <w:right w:val="nil"/>
            </w:tcBorders>
            <w:tcMar>
              <w:top w:w="23" w:type="dxa"/>
              <w:left w:w="23" w:type="dxa"/>
              <w:bottom w:w="23" w:type="dxa"/>
              <w:right w:w="23" w:type="dxa"/>
            </w:tcMar>
            <w:vAlign w:val="center"/>
          </w:tcPr>
          <w:p w14:paraId="07293266">
            <w:pPr>
              <w:pStyle w:val="47"/>
              <w:spacing w:line="360" w:lineRule="auto"/>
              <w:rPr>
                <w:rFonts w:ascii="Times New Roman" w:hAnsi="Times New Roman" w:eastAsia="宋体" w:cs="Times New Roman"/>
                <w:color w:val="auto"/>
                <w:sz w:val="21"/>
                <w:highlight w:val="none"/>
              </w:rPr>
            </w:pPr>
            <w:r>
              <w:rPr>
                <w:rFonts w:hint="eastAsia" w:ascii="Times New Roman" w:hAnsi="Times New Roman" w:eastAsia="宋体" w:cs="Times New Roman"/>
                <w:color w:val="auto"/>
                <w:sz w:val="21"/>
                <w:highlight w:val="none"/>
                <w:lang w:val="en-US" w:eastAsia="zh-CN"/>
              </w:rPr>
              <w:t>36.94</w:t>
            </w:r>
            <w:r>
              <w:rPr>
                <w:rFonts w:ascii="Times New Roman" w:hAnsi="Times New Roman" w:eastAsia="宋体" w:cs="Times New Roman"/>
                <w:color w:val="auto"/>
                <w:sz w:val="21"/>
                <w:highlight w:val="none"/>
              </w:rPr>
              <w:t>±4.8</w:t>
            </w:r>
            <w:r>
              <w:rPr>
                <w:rFonts w:hint="eastAsia" w:ascii="Times New Roman" w:hAnsi="Times New Roman" w:eastAsia="宋体" w:cs="Times New Roman"/>
                <w:color w:val="auto"/>
                <w:sz w:val="21"/>
                <w:highlight w:val="none"/>
                <w:lang w:val="en-US" w:eastAsia="zh-CN"/>
              </w:rPr>
              <w:t>3</w:t>
            </w:r>
            <w:r>
              <w:rPr>
                <w:rFonts w:ascii="Times New Roman" w:hAnsi="Times New Roman" w:eastAsia="宋体" w:cs="Times New Roman"/>
                <w:color w:val="auto"/>
                <w:sz w:val="21"/>
                <w:highlight w:val="none"/>
                <w:vertAlign w:val="superscript"/>
              </w:rPr>
              <w:t>bc</w:t>
            </w:r>
          </w:p>
        </w:tc>
        <w:tc>
          <w:tcPr>
            <w:tcW w:w="0" w:type="auto"/>
            <w:tcBorders>
              <w:top w:val="nil"/>
              <w:left w:val="nil"/>
              <w:bottom w:val="nil"/>
              <w:right w:val="nil"/>
            </w:tcBorders>
            <w:tcMar>
              <w:top w:w="23" w:type="dxa"/>
              <w:left w:w="23" w:type="dxa"/>
              <w:bottom w:w="23" w:type="dxa"/>
              <w:right w:w="23" w:type="dxa"/>
            </w:tcMar>
            <w:vAlign w:val="center"/>
          </w:tcPr>
          <w:p w14:paraId="527F20AF">
            <w:pPr>
              <w:pStyle w:val="47"/>
              <w:spacing w:line="360" w:lineRule="auto"/>
              <w:rPr>
                <w:rFonts w:ascii="Times New Roman" w:hAnsi="Times New Roman" w:eastAsia="宋体" w:cs="Times New Roman"/>
                <w:color w:val="auto"/>
                <w:sz w:val="21"/>
                <w:highlight w:val="none"/>
              </w:rPr>
            </w:pPr>
            <w:r>
              <w:rPr>
                <w:rFonts w:hint="eastAsia" w:ascii="Times New Roman" w:hAnsi="Times New Roman" w:eastAsia="宋体" w:cs="Times New Roman"/>
                <w:color w:val="auto"/>
                <w:sz w:val="21"/>
                <w:highlight w:val="none"/>
                <w:lang w:val="en-US" w:eastAsia="zh-CN"/>
              </w:rPr>
              <w:t>39.58</w:t>
            </w:r>
            <w:r>
              <w:rPr>
                <w:rFonts w:ascii="Times New Roman" w:hAnsi="Times New Roman" w:eastAsia="宋体" w:cs="Times New Roman"/>
                <w:color w:val="auto"/>
                <w:sz w:val="21"/>
                <w:highlight w:val="none"/>
              </w:rPr>
              <w:t>±3.8</w:t>
            </w:r>
            <w:r>
              <w:rPr>
                <w:rFonts w:hint="eastAsia" w:ascii="Times New Roman" w:hAnsi="Times New Roman" w:eastAsia="宋体" w:cs="Times New Roman"/>
                <w:color w:val="auto"/>
                <w:sz w:val="21"/>
                <w:highlight w:val="none"/>
                <w:lang w:val="en-US" w:eastAsia="zh-CN"/>
              </w:rPr>
              <w:t>9</w:t>
            </w:r>
            <w:r>
              <w:rPr>
                <w:rFonts w:ascii="Times New Roman" w:hAnsi="Times New Roman" w:eastAsia="宋体" w:cs="Times New Roman"/>
                <w:color w:val="auto"/>
                <w:sz w:val="21"/>
                <w:highlight w:val="none"/>
                <w:vertAlign w:val="superscript"/>
              </w:rPr>
              <w:t>def</w:t>
            </w:r>
          </w:p>
        </w:tc>
        <w:tc>
          <w:tcPr>
            <w:tcW w:w="894" w:type="dxa"/>
            <w:tcBorders>
              <w:top w:val="nil"/>
              <w:left w:val="nil"/>
              <w:bottom w:val="nil"/>
              <w:right w:val="nil"/>
            </w:tcBorders>
            <w:tcMar>
              <w:top w:w="23" w:type="dxa"/>
              <w:left w:w="23" w:type="dxa"/>
              <w:bottom w:w="23" w:type="dxa"/>
              <w:right w:w="23" w:type="dxa"/>
            </w:tcMar>
            <w:vAlign w:val="center"/>
          </w:tcPr>
          <w:p w14:paraId="7215CB2A">
            <w:pPr>
              <w:pStyle w:val="47"/>
              <w:spacing w:line="360" w:lineRule="auto"/>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i/>
                <w:iCs/>
                <w:color w:val="auto"/>
                <w:sz w:val="21"/>
                <w:highlight w:val="none"/>
                <w:lang w:val="en-US" w:eastAsia="zh-CN"/>
              </w:rPr>
              <w:t>F</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14.470</w:t>
            </w:r>
          </w:p>
        </w:tc>
        <w:tc>
          <w:tcPr>
            <w:tcW w:w="638" w:type="dxa"/>
            <w:tcBorders>
              <w:top w:val="nil"/>
              <w:left w:val="nil"/>
              <w:bottom w:val="nil"/>
              <w:right w:val="nil"/>
            </w:tcBorders>
            <w:tcMar>
              <w:top w:w="23" w:type="dxa"/>
              <w:left w:w="23" w:type="dxa"/>
              <w:bottom w:w="23" w:type="dxa"/>
              <w:right w:w="23" w:type="dxa"/>
            </w:tcMar>
            <w:vAlign w:val="center"/>
          </w:tcPr>
          <w:p w14:paraId="491FF22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7FFF2C3D">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0" w:type="auto"/>
            <w:tcBorders>
              <w:top w:val="nil"/>
              <w:left w:val="nil"/>
              <w:bottom w:val="nil"/>
              <w:right w:val="nil"/>
            </w:tcBorders>
            <w:tcMar>
              <w:top w:w="23" w:type="dxa"/>
              <w:left w:w="23" w:type="dxa"/>
              <w:bottom w:w="23" w:type="dxa"/>
              <w:right w:w="23" w:type="dxa"/>
            </w:tcMar>
            <w:vAlign w:val="center"/>
          </w:tcPr>
          <w:p w14:paraId="3FE5BA50">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TT[s，</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0" w:type="auto"/>
            <w:tcBorders>
              <w:top w:val="nil"/>
              <w:left w:val="nil"/>
              <w:bottom w:val="nil"/>
              <w:right w:val="nil"/>
            </w:tcBorders>
            <w:tcMar>
              <w:top w:w="23" w:type="dxa"/>
              <w:left w:w="23" w:type="dxa"/>
              <w:bottom w:w="23" w:type="dxa"/>
              <w:right w:w="23" w:type="dxa"/>
            </w:tcMar>
            <w:vAlign w:val="center"/>
          </w:tcPr>
          <w:p w14:paraId="662DADB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23.00（21.90，23.90）</w:t>
            </w:r>
          </w:p>
        </w:tc>
        <w:tc>
          <w:tcPr>
            <w:tcW w:w="0" w:type="auto"/>
            <w:tcBorders>
              <w:top w:val="nil"/>
              <w:left w:val="nil"/>
              <w:bottom w:val="nil"/>
              <w:right w:val="nil"/>
            </w:tcBorders>
            <w:tcMar>
              <w:top w:w="23" w:type="dxa"/>
              <w:left w:w="23" w:type="dxa"/>
              <w:bottom w:w="23" w:type="dxa"/>
              <w:right w:w="23" w:type="dxa"/>
            </w:tcMar>
            <w:vAlign w:val="center"/>
          </w:tcPr>
          <w:p w14:paraId="7C4405D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24.00（22.40，25.50）</w:t>
            </w:r>
            <w:r>
              <w:rPr>
                <w:rFonts w:ascii="Times New Roman" w:hAnsi="Times New Roman" w:eastAsia="宋体" w:cs="Times New Roman"/>
                <w:color w:val="auto"/>
                <w:sz w:val="21"/>
                <w:vertAlign w:val="superscript"/>
              </w:rPr>
              <w:t>a</w:t>
            </w:r>
          </w:p>
        </w:tc>
        <w:tc>
          <w:tcPr>
            <w:tcW w:w="0" w:type="auto"/>
            <w:tcBorders>
              <w:top w:val="nil"/>
              <w:left w:val="nil"/>
              <w:bottom w:val="nil"/>
              <w:right w:val="nil"/>
            </w:tcBorders>
            <w:tcMar>
              <w:top w:w="23" w:type="dxa"/>
              <w:left w:w="23" w:type="dxa"/>
              <w:bottom w:w="23" w:type="dxa"/>
              <w:right w:w="23" w:type="dxa"/>
            </w:tcMar>
            <w:vAlign w:val="center"/>
          </w:tcPr>
          <w:p w14:paraId="675B8A6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25.50（24.10，28.20）</w:t>
            </w:r>
            <w:r>
              <w:rPr>
                <w:rFonts w:ascii="Times New Roman" w:hAnsi="Times New Roman" w:eastAsia="宋体" w:cs="Times New Roman"/>
                <w:color w:val="auto"/>
                <w:sz w:val="21"/>
                <w:vertAlign w:val="superscript"/>
              </w:rPr>
              <w:t>bc</w:t>
            </w:r>
          </w:p>
        </w:tc>
        <w:tc>
          <w:tcPr>
            <w:tcW w:w="0" w:type="auto"/>
            <w:tcBorders>
              <w:top w:val="nil"/>
              <w:left w:val="nil"/>
              <w:bottom w:val="nil"/>
              <w:right w:val="nil"/>
            </w:tcBorders>
            <w:tcMar>
              <w:top w:w="23" w:type="dxa"/>
              <w:left w:w="23" w:type="dxa"/>
              <w:bottom w:w="23" w:type="dxa"/>
              <w:right w:w="23" w:type="dxa"/>
            </w:tcMar>
            <w:vAlign w:val="center"/>
          </w:tcPr>
          <w:p w14:paraId="0FC68EE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27.70（25.90，30.70）</w:t>
            </w:r>
            <w:r>
              <w:rPr>
                <w:rFonts w:ascii="Times New Roman" w:hAnsi="Times New Roman" w:eastAsia="宋体" w:cs="Times New Roman"/>
                <w:color w:val="auto"/>
                <w:sz w:val="21"/>
                <w:vertAlign w:val="superscript"/>
              </w:rPr>
              <w:t>def</w:t>
            </w:r>
          </w:p>
        </w:tc>
        <w:tc>
          <w:tcPr>
            <w:tcW w:w="894" w:type="dxa"/>
            <w:tcBorders>
              <w:top w:val="nil"/>
              <w:left w:val="nil"/>
              <w:bottom w:val="nil"/>
              <w:right w:val="nil"/>
            </w:tcBorders>
            <w:tcMar>
              <w:top w:w="23" w:type="dxa"/>
              <w:left w:w="23" w:type="dxa"/>
              <w:bottom w:w="23" w:type="dxa"/>
              <w:right w:w="23" w:type="dxa"/>
            </w:tcMar>
            <w:vAlign w:val="center"/>
          </w:tcPr>
          <w:p w14:paraId="0C175AFA">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color w:val="auto"/>
                <w:sz w:val="21"/>
                <w:lang w:val="en-US" w:eastAsia="zh-CN"/>
              </w:rPr>
              <w:t>10.563</w:t>
            </w:r>
          </w:p>
        </w:tc>
        <w:tc>
          <w:tcPr>
            <w:tcW w:w="638" w:type="dxa"/>
            <w:tcBorders>
              <w:top w:val="nil"/>
              <w:left w:val="nil"/>
              <w:bottom w:val="nil"/>
              <w:right w:val="nil"/>
            </w:tcBorders>
            <w:tcMar>
              <w:top w:w="23" w:type="dxa"/>
              <w:left w:w="23" w:type="dxa"/>
              <w:bottom w:w="23" w:type="dxa"/>
              <w:right w:w="23" w:type="dxa"/>
            </w:tcMar>
            <w:vAlign w:val="center"/>
          </w:tcPr>
          <w:p w14:paraId="518F0722">
            <w:pPr>
              <w:pStyle w:val="47"/>
              <w:spacing w:line="360" w:lineRule="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0.014</w:t>
            </w:r>
          </w:p>
        </w:tc>
      </w:tr>
      <w:tr w14:paraId="7245066B">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0" w:type="auto"/>
            <w:tcBorders>
              <w:top w:val="nil"/>
              <w:left w:val="nil"/>
              <w:bottom w:val="nil"/>
              <w:right w:val="nil"/>
            </w:tcBorders>
            <w:tcMar>
              <w:top w:w="23" w:type="dxa"/>
              <w:left w:w="23" w:type="dxa"/>
              <w:bottom w:w="23" w:type="dxa"/>
              <w:right w:w="23" w:type="dxa"/>
            </w:tcMar>
            <w:vAlign w:val="center"/>
          </w:tcPr>
          <w:p w14:paraId="2C46635A">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D-D[mg/L，</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0" w:type="auto"/>
            <w:tcBorders>
              <w:top w:val="nil"/>
              <w:left w:val="nil"/>
              <w:bottom w:val="nil"/>
              <w:right w:val="nil"/>
            </w:tcBorders>
            <w:tcMar>
              <w:top w:w="23" w:type="dxa"/>
              <w:left w:w="23" w:type="dxa"/>
              <w:bottom w:w="23" w:type="dxa"/>
              <w:right w:w="23" w:type="dxa"/>
            </w:tcMar>
            <w:vAlign w:val="center"/>
          </w:tcPr>
          <w:p w14:paraId="26DFE73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0.52（0.43，0.60）</w:t>
            </w:r>
          </w:p>
        </w:tc>
        <w:tc>
          <w:tcPr>
            <w:tcW w:w="0" w:type="auto"/>
            <w:tcBorders>
              <w:top w:val="nil"/>
              <w:left w:val="nil"/>
              <w:bottom w:val="nil"/>
              <w:right w:val="nil"/>
            </w:tcBorders>
            <w:tcMar>
              <w:top w:w="23" w:type="dxa"/>
              <w:left w:w="23" w:type="dxa"/>
              <w:bottom w:w="23" w:type="dxa"/>
              <w:right w:w="23" w:type="dxa"/>
            </w:tcMar>
            <w:vAlign w:val="center"/>
          </w:tcPr>
          <w:p w14:paraId="27B6BF5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0.65（0.55，0.78）</w:t>
            </w:r>
            <w:r>
              <w:rPr>
                <w:rFonts w:ascii="Times New Roman" w:hAnsi="Times New Roman" w:eastAsia="宋体" w:cs="Times New Roman"/>
                <w:color w:val="auto"/>
                <w:sz w:val="21"/>
                <w:vertAlign w:val="superscript"/>
              </w:rPr>
              <w:t>a</w:t>
            </w:r>
          </w:p>
        </w:tc>
        <w:tc>
          <w:tcPr>
            <w:tcW w:w="0" w:type="auto"/>
            <w:tcBorders>
              <w:top w:val="nil"/>
              <w:left w:val="nil"/>
              <w:bottom w:val="nil"/>
              <w:right w:val="nil"/>
            </w:tcBorders>
            <w:tcMar>
              <w:top w:w="23" w:type="dxa"/>
              <w:left w:w="23" w:type="dxa"/>
              <w:bottom w:w="23" w:type="dxa"/>
              <w:right w:w="23" w:type="dxa"/>
            </w:tcMar>
            <w:vAlign w:val="center"/>
          </w:tcPr>
          <w:p w14:paraId="5EF3E68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0.78（0.62，0.90）</w:t>
            </w:r>
            <w:r>
              <w:rPr>
                <w:rFonts w:ascii="Times New Roman" w:hAnsi="Times New Roman" w:eastAsia="宋体" w:cs="Times New Roman"/>
                <w:color w:val="auto"/>
                <w:sz w:val="21"/>
                <w:vertAlign w:val="superscript"/>
              </w:rPr>
              <w:t>bc</w:t>
            </w:r>
          </w:p>
        </w:tc>
        <w:tc>
          <w:tcPr>
            <w:tcW w:w="0" w:type="auto"/>
            <w:tcBorders>
              <w:top w:val="nil"/>
              <w:left w:val="nil"/>
              <w:bottom w:val="nil"/>
              <w:right w:val="nil"/>
            </w:tcBorders>
            <w:tcMar>
              <w:top w:w="23" w:type="dxa"/>
              <w:left w:w="23" w:type="dxa"/>
              <w:bottom w:w="23" w:type="dxa"/>
              <w:right w:w="23" w:type="dxa"/>
            </w:tcMar>
            <w:vAlign w:val="center"/>
          </w:tcPr>
          <w:p w14:paraId="0C3FACF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1.01（0.86，1.27）</w:t>
            </w:r>
            <w:r>
              <w:rPr>
                <w:rFonts w:ascii="Times New Roman" w:hAnsi="Times New Roman" w:eastAsia="宋体" w:cs="Times New Roman"/>
                <w:color w:val="auto"/>
                <w:sz w:val="21"/>
                <w:vertAlign w:val="superscript"/>
              </w:rPr>
              <w:t>def</w:t>
            </w:r>
          </w:p>
        </w:tc>
        <w:tc>
          <w:tcPr>
            <w:tcW w:w="894" w:type="dxa"/>
            <w:tcBorders>
              <w:top w:val="nil"/>
              <w:left w:val="nil"/>
              <w:bottom w:val="nil"/>
              <w:right w:val="nil"/>
            </w:tcBorders>
            <w:tcMar>
              <w:top w:w="23" w:type="dxa"/>
              <w:left w:w="23" w:type="dxa"/>
              <w:bottom w:w="23" w:type="dxa"/>
              <w:right w:w="23" w:type="dxa"/>
            </w:tcMar>
            <w:vAlign w:val="center"/>
          </w:tcPr>
          <w:p w14:paraId="4DFBD1EA">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iCs/>
                <w:color w:val="auto"/>
                <w:sz w:val="21"/>
                <w:lang w:val="en-US" w:eastAsia="zh-CN"/>
              </w:rPr>
              <w:t>11.225</w:t>
            </w:r>
          </w:p>
        </w:tc>
        <w:tc>
          <w:tcPr>
            <w:tcW w:w="638" w:type="dxa"/>
            <w:tcBorders>
              <w:top w:val="nil"/>
              <w:left w:val="nil"/>
              <w:bottom w:val="nil"/>
              <w:right w:val="nil"/>
            </w:tcBorders>
            <w:tcMar>
              <w:top w:w="23" w:type="dxa"/>
              <w:left w:w="23" w:type="dxa"/>
              <w:bottom w:w="23" w:type="dxa"/>
              <w:right w:w="23" w:type="dxa"/>
            </w:tcMar>
            <w:vAlign w:val="center"/>
          </w:tcPr>
          <w:p w14:paraId="55403664">
            <w:pPr>
              <w:pStyle w:val="47"/>
              <w:spacing w:line="360" w:lineRule="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0.011</w:t>
            </w:r>
          </w:p>
        </w:tc>
      </w:tr>
      <w:tr w14:paraId="6A1C9335">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0" w:type="auto"/>
            <w:tcBorders>
              <w:top w:val="single" w:color="000000" w:sz="2" w:space="0"/>
              <w:left w:val="nil"/>
              <w:bottom w:val="single" w:color="auto" w:sz="4" w:space="0"/>
              <w:right w:val="nil"/>
            </w:tcBorders>
            <w:tcMar>
              <w:top w:w="23" w:type="dxa"/>
              <w:left w:w="23" w:type="dxa"/>
              <w:bottom w:w="23" w:type="dxa"/>
              <w:right w:w="23" w:type="dxa"/>
            </w:tcMar>
            <w:vAlign w:val="center"/>
          </w:tcPr>
          <w:p w14:paraId="6A34E9D5">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VE-cadherin[mg/L，</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0" w:type="auto"/>
            <w:tcBorders>
              <w:top w:val="single" w:color="000000" w:sz="2" w:space="0"/>
              <w:left w:val="nil"/>
              <w:bottom w:val="single" w:color="auto" w:sz="4" w:space="0"/>
              <w:right w:val="nil"/>
            </w:tcBorders>
            <w:tcMar>
              <w:top w:w="23" w:type="dxa"/>
              <w:left w:w="23" w:type="dxa"/>
              <w:bottom w:w="23" w:type="dxa"/>
              <w:right w:w="23" w:type="dxa"/>
            </w:tcMar>
            <w:vAlign w:val="center"/>
          </w:tcPr>
          <w:p w14:paraId="69BA26F9">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4.04（2.96，4.56）</w:t>
            </w:r>
          </w:p>
        </w:tc>
        <w:tc>
          <w:tcPr>
            <w:tcW w:w="0" w:type="auto"/>
            <w:tcBorders>
              <w:top w:val="single" w:color="000000" w:sz="2" w:space="0"/>
              <w:left w:val="nil"/>
              <w:bottom w:val="single" w:color="auto" w:sz="4" w:space="0"/>
              <w:right w:val="nil"/>
            </w:tcBorders>
            <w:tcMar>
              <w:top w:w="23" w:type="dxa"/>
              <w:left w:w="23" w:type="dxa"/>
              <w:bottom w:w="23" w:type="dxa"/>
              <w:right w:w="23" w:type="dxa"/>
            </w:tcMar>
            <w:vAlign w:val="center"/>
          </w:tcPr>
          <w:p w14:paraId="3A6DD2E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5.77（5.04，5.88）</w:t>
            </w:r>
            <w:r>
              <w:rPr>
                <w:rFonts w:ascii="Times New Roman" w:hAnsi="Times New Roman" w:eastAsia="宋体" w:cs="Times New Roman"/>
                <w:color w:val="auto"/>
                <w:sz w:val="21"/>
                <w:vertAlign w:val="superscript"/>
              </w:rPr>
              <w:t>a</w:t>
            </w:r>
          </w:p>
        </w:tc>
        <w:tc>
          <w:tcPr>
            <w:tcW w:w="0" w:type="auto"/>
            <w:tcBorders>
              <w:top w:val="single" w:color="000000" w:sz="2" w:space="0"/>
              <w:left w:val="nil"/>
              <w:bottom w:val="single" w:color="auto" w:sz="4" w:space="0"/>
              <w:right w:val="nil"/>
            </w:tcBorders>
            <w:tcMar>
              <w:top w:w="23" w:type="dxa"/>
              <w:left w:w="23" w:type="dxa"/>
              <w:bottom w:w="23" w:type="dxa"/>
              <w:right w:w="23" w:type="dxa"/>
            </w:tcMar>
            <w:vAlign w:val="center"/>
          </w:tcPr>
          <w:p w14:paraId="469F393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6.53（6.13，7.42）</w:t>
            </w:r>
            <w:r>
              <w:rPr>
                <w:rFonts w:ascii="Times New Roman" w:hAnsi="Times New Roman" w:eastAsia="宋体" w:cs="Times New Roman"/>
                <w:color w:val="auto"/>
                <w:sz w:val="21"/>
                <w:vertAlign w:val="superscript"/>
              </w:rPr>
              <w:t>bc</w:t>
            </w:r>
          </w:p>
        </w:tc>
        <w:tc>
          <w:tcPr>
            <w:tcW w:w="0" w:type="auto"/>
            <w:tcBorders>
              <w:top w:val="single" w:color="000000" w:sz="2" w:space="0"/>
              <w:left w:val="nil"/>
              <w:bottom w:val="single" w:color="auto" w:sz="4" w:space="0"/>
              <w:right w:val="nil"/>
            </w:tcBorders>
            <w:tcMar>
              <w:top w:w="23" w:type="dxa"/>
              <w:left w:w="23" w:type="dxa"/>
              <w:bottom w:w="23" w:type="dxa"/>
              <w:right w:w="23" w:type="dxa"/>
            </w:tcMar>
            <w:vAlign w:val="center"/>
          </w:tcPr>
          <w:p w14:paraId="7DBE43E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7.63（7.01，8.31）</w:t>
            </w:r>
            <w:r>
              <w:rPr>
                <w:rFonts w:ascii="Times New Roman" w:hAnsi="Times New Roman" w:eastAsia="宋体" w:cs="Times New Roman"/>
                <w:color w:val="auto"/>
                <w:sz w:val="21"/>
                <w:vertAlign w:val="superscript"/>
              </w:rPr>
              <w:t>def</w:t>
            </w:r>
          </w:p>
        </w:tc>
        <w:tc>
          <w:tcPr>
            <w:tcW w:w="894" w:type="dxa"/>
            <w:tcBorders>
              <w:top w:val="single" w:color="000000" w:sz="2" w:space="0"/>
              <w:left w:val="nil"/>
              <w:bottom w:val="single" w:color="auto" w:sz="4" w:space="0"/>
              <w:right w:val="nil"/>
            </w:tcBorders>
            <w:tcMar>
              <w:top w:w="23" w:type="dxa"/>
              <w:left w:w="23" w:type="dxa"/>
              <w:bottom w:w="23" w:type="dxa"/>
              <w:right w:w="23" w:type="dxa"/>
            </w:tcMar>
            <w:vAlign w:val="center"/>
          </w:tcPr>
          <w:p w14:paraId="2DD0FCD2">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U</w:t>
            </w:r>
            <w:r>
              <w:rPr>
                <w:rFonts w:ascii="Times New Roman" w:hAnsi="Times New Roman" w:eastAsia="宋体" w:cs="Times New Roman"/>
                <w:color w:val="auto"/>
                <w:sz w:val="21"/>
              </w:rPr>
              <w:t>=1</w:t>
            </w:r>
            <w:r>
              <w:rPr>
                <w:rFonts w:hint="eastAsia" w:ascii="Times New Roman" w:hAnsi="Times New Roman" w:eastAsia="宋体" w:cs="Times New Roman"/>
                <w:color w:val="auto"/>
                <w:sz w:val="21"/>
                <w:lang w:val="en-US" w:eastAsia="zh-CN"/>
              </w:rPr>
              <w:t>3.083</w:t>
            </w:r>
          </w:p>
        </w:tc>
        <w:tc>
          <w:tcPr>
            <w:tcW w:w="638" w:type="dxa"/>
            <w:tcBorders>
              <w:top w:val="single" w:color="000000" w:sz="2" w:space="0"/>
              <w:left w:val="nil"/>
              <w:bottom w:val="single" w:color="auto" w:sz="4" w:space="0"/>
              <w:right w:val="nil"/>
            </w:tcBorders>
            <w:tcMar>
              <w:top w:w="23" w:type="dxa"/>
              <w:left w:w="23" w:type="dxa"/>
              <w:bottom w:w="23" w:type="dxa"/>
              <w:right w:w="23" w:type="dxa"/>
            </w:tcMar>
            <w:vAlign w:val="center"/>
          </w:tcPr>
          <w:p w14:paraId="328408B6">
            <w:pPr>
              <w:pStyle w:val="47"/>
              <w:spacing w:line="360" w:lineRule="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0.004</w:t>
            </w:r>
          </w:p>
        </w:tc>
      </w:tr>
    </w:tbl>
    <w:p w14:paraId="697AB77E">
      <w:pPr>
        <w:pStyle w:val="49"/>
        <w:spacing w:line="360" w:lineRule="auto"/>
        <w:ind w:firstLine="420" w:firstLineChars="200"/>
        <w:rPr>
          <w:rFonts w:hint="default" w:ascii="Times New Roman" w:hAnsi="Times New Roman" w:eastAsia="宋体" w:cs="Times New Roman"/>
          <w:color w:val="auto"/>
          <w:sz w:val="21"/>
          <w:lang w:val="en-US"/>
        </w:rPr>
      </w:pPr>
      <w:r>
        <w:rPr>
          <w:rFonts w:ascii="Times New Roman" w:hAnsi="Times New Roman" w:eastAsia="宋体" w:cs="Times New Roman"/>
          <w:color w:val="auto"/>
          <w:sz w:val="21"/>
        </w:rPr>
        <w:t>注：S1P为1-磷酸鞘氨酸</w:t>
      </w:r>
      <w:r>
        <w:rPr>
          <w:rFonts w:ascii="Times New Roman" w:hAnsi="Times New Roman" w:eastAsia="宋体" w:cs="Times New Roman"/>
          <w:color w:val="auto"/>
          <w:sz w:val="21"/>
          <w:highlight w:val="none"/>
        </w:rPr>
        <w:t>；FIB为降钙素原；PT为凝血酶原时间；APTT为活化部分凝血酶时间；TT为凝血酶时间；D-D为D-二聚体；VE-cadherin为血管内皮钙黏蛋白。</w:t>
      </w:r>
      <w:r>
        <w:rPr>
          <w:rFonts w:ascii="Times New Roman" w:hAnsi="Times New Roman" w:eastAsia="宋体" w:cs="Times New Roman"/>
          <w:color w:val="auto"/>
          <w:sz w:val="21"/>
          <w:highlight w:val="none"/>
          <w:vertAlign w:val="superscript"/>
        </w:rPr>
        <w:t>a</w:t>
      </w:r>
      <w:r>
        <w:rPr>
          <w:rFonts w:ascii="Times New Roman" w:hAnsi="Times New Roman" w:eastAsia="宋体" w:cs="Times New Roman"/>
          <w:color w:val="auto"/>
          <w:sz w:val="21"/>
          <w:highlight w:val="none"/>
        </w:rPr>
        <w:t>中度缺损组与轻度缺损组比较，</w:t>
      </w:r>
      <w:r>
        <w:rPr>
          <w:rFonts w:ascii="Times New Roman" w:hAnsi="Times New Roman" w:eastAsia="宋体" w:cs="Times New Roman"/>
          <w:i/>
          <w:iCs/>
          <w:color w:val="auto"/>
          <w:sz w:val="21"/>
          <w:highlight w:val="none"/>
        </w:rPr>
        <w:t>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7.250</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2.952</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3.104、-2.125</w:t>
      </w:r>
      <w:r>
        <w:rPr>
          <w:rFonts w:hint="eastAsia"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U</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2.120</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2.346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2.652</w:t>
      </w:r>
      <w:r>
        <w:rPr>
          <w:rFonts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&lt;0.001、=0.00</w:t>
      </w:r>
      <w:r>
        <w:rPr>
          <w:rFonts w:hint="eastAsia" w:ascii="Times New Roman" w:hAnsi="Times New Roman" w:eastAsia="宋体" w:cs="Times New Roman"/>
          <w:color w:val="auto"/>
          <w:sz w:val="21"/>
          <w:highlight w:val="none"/>
          <w:lang w:val="en-US" w:eastAsia="zh-CN"/>
        </w:rPr>
        <w:t>4</w:t>
      </w:r>
      <w:r>
        <w:rPr>
          <w:rFonts w:ascii="Times New Roman" w:hAnsi="Times New Roman" w:eastAsia="宋体" w:cs="Times New Roman"/>
          <w:color w:val="auto"/>
          <w:sz w:val="21"/>
          <w:highlight w:val="none"/>
        </w:rPr>
        <w:t>、=0.00</w:t>
      </w:r>
      <w:r>
        <w:rPr>
          <w:rFonts w:hint="eastAsia" w:ascii="Times New Roman" w:hAnsi="Times New Roman" w:eastAsia="宋体" w:cs="Times New Roman"/>
          <w:color w:val="auto"/>
          <w:sz w:val="21"/>
          <w:highlight w:val="none"/>
          <w:lang w:val="en-US" w:eastAsia="zh-CN"/>
        </w:rPr>
        <w:t>2</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37</w:t>
      </w:r>
      <w:r>
        <w:rPr>
          <w:rFonts w:hint="eastAsia"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34</w:t>
      </w:r>
      <w:r>
        <w:rPr>
          <w:rFonts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19、</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08</w:t>
      </w:r>
      <w:r>
        <w:rPr>
          <w:rFonts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vertAlign w:val="superscript"/>
        </w:rPr>
        <w:t>b</w:t>
      </w:r>
      <w:r>
        <w:rPr>
          <w:rFonts w:ascii="Times New Roman" w:hAnsi="Times New Roman" w:eastAsia="宋体" w:cs="Times New Roman"/>
          <w:color w:val="auto"/>
          <w:sz w:val="21"/>
          <w:highlight w:val="none"/>
        </w:rPr>
        <w:t>中重度缺损组与轻度缺损组比较，</w:t>
      </w:r>
      <w:r>
        <w:rPr>
          <w:rFonts w:ascii="Times New Roman" w:hAnsi="Times New Roman" w:eastAsia="宋体" w:cs="Times New Roman"/>
          <w:i/>
          <w:iCs/>
          <w:color w:val="auto"/>
          <w:sz w:val="21"/>
          <w:highlight w:val="none"/>
        </w:rPr>
        <w:t>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10.606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5.636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5.989</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3.980</w:t>
      </w:r>
      <w:r>
        <w:rPr>
          <w:rFonts w:hint="eastAsia"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U</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2.144</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2.308</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2.576</w:t>
      </w:r>
      <w:r>
        <w:rPr>
          <w:rFonts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32、</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21、</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10</w:t>
      </w:r>
      <w:r>
        <w:rPr>
          <w:rFonts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vertAlign w:val="superscript"/>
        </w:rPr>
        <w:t>c</w:t>
      </w:r>
      <w:r>
        <w:rPr>
          <w:rFonts w:ascii="Times New Roman" w:hAnsi="Times New Roman" w:eastAsia="宋体" w:cs="Times New Roman"/>
          <w:color w:val="auto"/>
          <w:sz w:val="21"/>
          <w:highlight w:val="none"/>
        </w:rPr>
        <w:t>中重度缺损组与中度缺损组比较，</w:t>
      </w:r>
      <w:r>
        <w:rPr>
          <w:rFonts w:ascii="Times New Roman" w:hAnsi="Times New Roman" w:eastAsia="宋体" w:cs="Times New Roman"/>
          <w:i/>
          <w:iCs/>
          <w:color w:val="auto"/>
          <w:sz w:val="21"/>
          <w:highlight w:val="none"/>
        </w:rPr>
        <w:t>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3.</w:t>
      </w:r>
      <w:r>
        <w:rPr>
          <w:rFonts w:hint="eastAsia" w:ascii="Times New Roman" w:hAnsi="Times New Roman" w:eastAsia="宋体" w:cs="Times New Roman"/>
          <w:color w:val="auto"/>
          <w:sz w:val="21"/>
          <w:highlight w:val="none"/>
          <w:lang w:val="en-US" w:eastAsia="zh-CN"/>
        </w:rPr>
        <w:t>357</w:t>
      </w:r>
      <w:r>
        <w:rPr>
          <w:rFonts w:hint="eastAsia" w:ascii="Times New Roman" w:hAnsi="Times New Roman" w:eastAsia="宋体" w:cs="Times New Roman"/>
          <w:color w:val="auto"/>
          <w:sz w:val="21"/>
          <w:highlight w:val="none"/>
        </w:rPr>
        <w:t>、2.</w:t>
      </w:r>
      <w:r>
        <w:rPr>
          <w:rFonts w:hint="eastAsia" w:ascii="Times New Roman" w:hAnsi="Times New Roman" w:eastAsia="宋体" w:cs="Times New Roman"/>
          <w:color w:val="auto"/>
          <w:sz w:val="21"/>
          <w:highlight w:val="none"/>
          <w:lang w:val="en-US" w:eastAsia="zh-CN"/>
        </w:rPr>
        <w:t>684</w:t>
      </w:r>
      <w:r>
        <w:rPr>
          <w:rFonts w:hint="eastAsia" w:ascii="Times New Roman" w:hAnsi="Times New Roman" w:eastAsia="宋体" w:cs="Times New Roman"/>
          <w:color w:val="auto"/>
          <w:sz w:val="21"/>
          <w:highlight w:val="none"/>
        </w:rPr>
        <w:t>、2.885、2.</w:t>
      </w:r>
      <w:r>
        <w:rPr>
          <w:rFonts w:hint="eastAsia" w:ascii="Times New Roman" w:hAnsi="Times New Roman" w:eastAsia="宋体" w:cs="Times New Roman"/>
          <w:color w:val="auto"/>
          <w:sz w:val="21"/>
          <w:highlight w:val="none"/>
          <w:lang w:val="en-US" w:eastAsia="zh-CN"/>
        </w:rPr>
        <w:t>587</w:t>
      </w:r>
      <w:r>
        <w:rPr>
          <w:rFonts w:hint="eastAsia"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U</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2.132</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2.273</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2.612</w:t>
      </w:r>
      <w:r>
        <w:rPr>
          <w:rFonts w:ascii="Times New Roman" w:hAnsi="Times New Roman" w:eastAsia="宋体" w:cs="Times New Roman"/>
          <w:color w:val="auto"/>
          <w:sz w:val="21"/>
          <w:highlight w:val="none"/>
        </w:rPr>
        <w:t>，</w:t>
      </w:r>
      <w:r>
        <w:rPr>
          <w:rFonts w:hint="eastAsia" w:ascii="Times New Roman" w:hAnsi="Times New Roman" w:eastAsia="宋体" w:cs="Times New Roman"/>
          <w:i/>
          <w:iCs/>
          <w:color w:val="auto"/>
          <w:sz w:val="21"/>
          <w:highlight w:val="none"/>
          <w:lang w:val="en-US" w:eastAsia="zh-CN"/>
        </w:rPr>
        <w:t>P</w:t>
      </w:r>
      <w:r>
        <w:rPr>
          <w:rFonts w:hint="eastAsia" w:ascii="Times New Roman" w:hAnsi="Times New Roman" w:eastAsia="宋体" w:cs="Times New Roman"/>
          <w:color w:val="auto"/>
          <w:sz w:val="21"/>
          <w:highlight w:val="none"/>
          <w:lang w:val="en-US" w:eastAsia="zh-CN"/>
        </w:rPr>
        <w:t>=</w:t>
      </w:r>
      <w:r>
        <w:rPr>
          <w:rFonts w:ascii="Times New Roman" w:hAnsi="Times New Roman" w:eastAsia="宋体" w:cs="Times New Roman"/>
          <w:color w:val="auto"/>
          <w:sz w:val="21"/>
          <w:highlight w:val="none"/>
        </w:rPr>
        <w:t>0.00</w:t>
      </w:r>
      <w:r>
        <w:rPr>
          <w:rFonts w:hint="eastAsia" w:ascii="Times New Roman" w:hAnsi="Times New Roman" w:eastAsia="宋体" w:cs="Times New Roman"/>
          <w:color w:val="auto"/>
          <w:sz w:val="21"/>
          <w:highlight w:val="none"/>
          <w:lang w:val="en-US" w:eastAsia="zh-CN"/>
        </w:rPr>
        <w:t>1</w:t>
      </w:r>
      <w:r>
        <w:rPr>
          <w:rFonts w:hint="eastAsia"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08</w:t>
      </w:r>
      <w:r>
        <w:rPr>
          <w:rFonts w:hint="eastAsia"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0.005、</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0.01</w:t>
      </w:r>
      <w:r>
        <w:rPr>
          <w:rFonts w:hint="eastAsia" w:ascii="Times New Roman" w:hAnsi="Times New Roman" w:eastAsia="宋体" w:cs="Times New Roman"/>
          <w:color w:val="auto"/>
          <w:sz w:val="21"/>
          <w:highlight w:val="none"/>
          <w:lang w:val="en-US" w:eastAsia="zh-CN"/>
        </w:rPr>
        <w:t>1</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33</w:t>
      </w:r>
      <w:r>
        <w:rPr>
          <w:rFonts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23</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w:t>
      </w:r>
      <w:r>
        <w:rPr>
          <w:rFonts w:ascii="Times New Roman" w:hAnsi="Times New Roman" w:eastAsia="宋体" w:cs="Times New Roman"/>
          <w:color w:val="auto"/>
          <w:sz w:val="21"/>
          <w:highlight w:val="none"/>
        </w:rPr>
        <w:t>0.00</w:t>
      </w:r>
      <w:r>
        <w:rPr>
          <w:rFonts w:hint="eastAsia" w:ascii="Times New Roman" w:hAnsi="Times New Roman" w:eastAsia="宋体" w:cs="Times New Roman"/>
          <w:color w:val="auto"/>
          <w:sz w:val="21"/>
          <w:highlight w:val="none"/>
          <w:lang w:val="en-US" w:eastAsia="zh-CN"/>
        </w:rPr>
        <w:t>9</w:t>
      </w:r>
      <w:r>
        <w:rPr>
          <w:rFonts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vertAlign w:val="superscript"/>
        </w:rPr>
        <w:t>d</w:t>
      </w:r>
      <w:r>
        <w:rPr>
          <w:rFonts w:ascii="Times New Roman" w:hAnsi="Times New Roman" w:eastAsia="宋体" w:cs="Times New Roman"/>
          <w:color w:val="auto"/>
          <w:sz w:val="21"/>
          <w:highlight w:val="none"/>
        </w:rPr>
        <w:t>重度缺损组与轻度缺损组比较，</w:t>
      </w:r>
      <w:r>
        <w:rPr>
          <w:rFonts w:ascii="Times New Roman" w:hAnsi="Times New Roman" w:eastAsia="宋体" w:cs="Times New Roman"/>
          <w:i/>
          <w:iCs/>
          <w:color w:val="auto"/>
          <w:sz w:val="21"/>
          <w:highlight w:val="none"/>
        </w:rPr>
        <w:t>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15.117</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9.272</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9.113</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6.225</w:t>
      </w:r>
      <w:r>
        <w:rPr>
          <w:rFonts w:hint="eastAsia"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U</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2.241</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2.366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2.484</w:t>
      </w:r>
      <w:r>
        <w:rPr>
          <w:rFonts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25、</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18、</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13</w:t>
      </w:r>
      <w:r>
        <w:rPr>
          <w:rFonts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vertAlign w:val="superscript"/>
        </w:rPr>
        <w:t>e</w:t>
      </w:r>
      <w:r>
        <w:rPr>
          <w:rFonts w:ascii="Times New Roman" w:hAnsi="Times New Roman" w:eastAsia="宋体" w:cs="Times New Roman"/>
          <w:color w:val="auto"/>
          <w:sz w:val="21"/>
          <w:highlight w:val="none"/>
        </w:rPr>
        <w:t>重度缺损组与中度缺损组比较，</w:t>
      </w:r>
      <w:r>
        <w:rPr>
          <w:rFonts w:ascii="Times New Roman" w:hAnsi="Times New Roman" w:eastAsia="宋体" w:cs="Times New Roman"/>
          <w:i/>
          <w:iCs/>
          <w:color w:val="auto"/>
          <w:sz w:val="21"/>
          <w:highlight w:val="none"/>
        </w:rPr>
        <w:t>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7.867</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6.319</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6.009</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4.832</w:t>
      </w:r>
      <w:r>
        <w:rPr>
          <w:rFonts w:hint="eastAsia"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U</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2.086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2.226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2.697</w:t>
      </w:r>
      <w:r>
        <w:rPr>
          <w:rFonts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37、</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26、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07</w:t>
      </w:r>
      <w:r>
        <w:rPr>
          <w:rFonts w:ascii="Times New Roman" w:hAnsi="Times New Roman" w:eastAsia="宋体" w:cs="Times New Roman"/>
          <w:color w:val="auto"/>
          <w:sz w:val="21"/>
          <w:highlight w:val="none"/>
        </w:rPr>
        <w:t>；</w:t>
      </w:r>
      <w:r>
        <w:rPr>
          <w:rFonts w:ascii="Times New Roman" w:hAnsi="Times New Roman" w:eastAsia="宋体" w:cs="Times New Roman"/>
          <w:color w:val="auto"/>
          <w:sz w:val="21"/>
          <w:highlight w:val="none"/>
          <w:vertAlign w:val="superscript"/>
        </w:rPr>
        <w:t>f</w:t>
      </w:r>
      <w:r>
        <w:rPr>
          <w:rFonts w:ascii="Times New Roman" w:hAnsi="Times New Roman" w:eastAsia="宋体" w:cs="Times New Roman"/>
          <w:color w:val="auto"/>
          <w:sz w:val="21"/>
          <w:highlight w:val="none"/>
        </w:rPr>
        <w:t>重度缺损组与中重度缺损组比较，</w:t>
      </w:r>
      <w:r>
        <w:rPr>
          <w:rFonts w:ascii="Times New Roman" w:hAnsi="Times New Roman" w:eastAsia="宋体" w:cs="Times New Roman"/>
          <w:i/>
          <w:iCs/>
          <w:color w:val="auto"/>
          <w:sz w:val="21"/>
          <w:highlight w:val="none"/>
        </w:rPr>
        <w:t>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4.510</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3.636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3.124</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2.245</w:t>
      </w:r>
      <w:r>
        <w:rPr>
          <w:rFonts w:hint="eastAsia"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U</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2.108</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2.257</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2.409</w:t>
      </w:r>
      <w:r>
        <w:rPr>
          <w:rFonts w:ascii="Times New Roman" w:hAnsi="Times New Roman" w:eastAsia="宋体" w:cs="Times New Roman"/>
          <w:color w:val="auto"/>
          <w:sz w:val="21"/>
          <w:highlight w:val="none"/>
        </w:rPr>
        <w:t>，</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ascii="Times New Roman" w:hAnsi="Times New Roman" w:eastAsia="宋体" w:cs="Times New Roman"/>
          <w:i/>
          <w:iCs/>
          <w:color w:val="auto"/>
          <w:sz w:val="21"/>
          <w:highlight w:val="none"/>
        </w:rPr>
        <w:t>P</w:t>
      </w:r>
      <w:r>
        <w:rPr>
          <w:rFonts w:ascii="Times New Roman" w:hAnsi="Times New Roman" w:eastAsia="宋体" w:cs="Times New Roman"/>
          <w:color w:val="auto"/>
          <w:sz w:val="21"/>
          <w:highlight w:val="none"/>
        </w:rPr>
        <w:t>&lt;0.001</w:t>
      </w:r>
      <w:r>
        <w:rPr>
          <w:rFonts w:hint="eastAsia" w:ascii="Times New Roman" w:hAnsi="Times New Roman" w:eastAsia="宋体" w:cs="Times New Roman"/>
          <w:color w:val="auto"/>
          <w:sz w:val="21"/>
          <w:highlight w:val="none"/>
          <w:lang w:eastAsia="zh-CN"/>
        </w:rPr>
        <w:t>、</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02、</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26、</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35、</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24、</w:t>
      </w:r>
      <w:r>
        <w:rPr>
          <w:rFonts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rPr>
        <w:t>0.0</w:t>
      </w:r>
      <w:r>
        <w:rPr>
          <w:rFonts w:hint="eastAsia" w:ascii="Times New Roman" w:hAnsi="Times New Roman" w:eastAsia="宋体" w:cs="Times New Roman"/>
          <w:color w:val="auto"/>
          <w:sz w:val="21"/>
          <w:highlight w:val="none"/>
          <w:lang w:val="en-US" w:eastAsia="zh-CN"/>
        </w:rPr>
        <w:t>16.</w:t>
      </w:r>
    </w:p>
    <w:p w14:paraId="34EC881A">
      <w:pPr>
        <w:pStyle w:val="49"/>
        <w:spacing w:line="360" w:lineRule="auto"/>
        <w:ind w:firstLine="420" w:firstLineChars="200"/>
        <w:rPr>
          <w:rFonts w:ascii="Times New Roman" w:hAnsi="Times New Roman" w:eastAsia="宋体" w:cs="Times New Roman"/>
          <w:color w:val="auto"/>
          <w:sz w:val="21"/>
        </w:rPr>
      </w:pPr>
      <w:r>
        <w:rPr>
          <w:rFonts w:ascii="Times New Roman" w:hAnsi="Times New Roman" w:eastAsia="宋体" w:cs="Times New Roman"/>
          <w:color w:val="auto"/>
          <w:sz w:val="21"/>
        </w:rPr>
        <w:t>四、HICH患者血清VE-cadherin、S1P水平与凝血功能指标的相关性</w:t>
      </w:r>
    </w:p>
    <w:p w14:paraId="0F1F55CE">
      <w:pPr>
        <w:pStyle w:val="29"/>
        <w:spacing w:line="360" w:lineRule="auto"/>
        <w:ind w:firstLine="420"/>
        <w:rPr>
          <w:rFonts w:ascii="Times New Roman" w:hAnsi="Times New Roman" w:cs="Times New Roman"/>
          <w:color w:val="auto"/>
        </w:rPr>
      </w:pPr>
      <w:r>
        <w:rPr>
          <w:rFonts w:ascii="Times New Roman" w:hAnsi="Times New Roman" w:cs="Times New Roman"/>
          <w:color w:val="auto"/>
        </w:rPr>
        <w:t>Pearson/Spearman相关性显示：HICH患者的血清VE-cadherin、S1P水平均与病情程度、D-D、FIB、PT、TT、APTT呈正相关（</w:t>
      </w:r>
      <w:r>
        <w:rPr>
          <w:rFonts w:ascii="Times New Roman" w:hAnsi="Times New Roman" w:cs="Times New Roman"/>
          <w:i/>
          <w:color w:val="auto"/>
        </w:rPr>
        <w:t>P</w:t>
      </w:r>
      <w:r>
        <w:rPr>
          <w:rFonts w:ascii="Times New Roman" w:hAnsi="Times New Roman" w:cs="Times New Roman"/>
          <w:iCs/>
          <w:color w:val="auto"/>
        </w:rPr>
        <w:t>均</w:t>
      </w:r>
      <w:r>
        <w:rPr>
          <w:rFonts w:ascii="Times New Roman" w:hAnsi="Times New Roman" w:cs="Times New Roman"/>
          <w:color w:val="auto"/>
        </w:rPr>
        <w:t>&lt;0.05，图1）。</w:t>
      </w:r>
    </w:p>
    <w:p w14:paraId="7D300E01">
      <w:pPr>
        <w:pStyle w:val="39"/>
        <w:spacing w:line="360" w:lineRule="auto"/>
        <w:jc w:val="center"/>
        <w:rPr>
          <w:rFonts w:ascii="Times New Roman" w:hAnsi="Times New Roman" w:eastAsia="宋体" w:cs="Times New Roman"/>
          <w:color w:val="auto"/>
        </w:rPr>
      </w:pPr>
      <w:r>
        <w:rPr>
          <w:rFonts w:ascii="Times New Roman" w:hAnsi="Times New Roman" w:eastAsia="宋体" w:cs="Times New Roman"/>
          <w:color w:val="auto"/>
        </w:rPr>
        <w:drawing>
          <wp:inline distT="0" distB="0" distL="0" distR="0">
            <wp:extent cx="6184900" cy="3873500"/>
            <wp:effectExtent l="0" t="0" r="6350" b="0"/>
            <wp:docPr id="9174324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432421"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184900" cy="3873500"/>
                    </a:xfrm>
                    <a:prstGeom prst="rect">
                      <a:avLst/>
                    </a:prstGeom>
                    <a:noFill/>
                    <a:ln>
                      <a:noFill/>
                    </a:ln>
                  </pic:spPr>
                </pic:pic>
              </a:graphicData>
            </a:graphic>
          </wp:inline>
        </w:drawing>
      </w:r>
    </w:p>
    <w:p w14:paraId="535FAEDD">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注：病情程度1、2、3、4分别为轻度缺损、中度缺损、中重度缺损、重度缺损。HICH患者血清VE-cadherin与病情程度、D-二聚体</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D-D</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、降钙素原</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FIB</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、凝血酶原时间</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PT</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、凝血酶时间</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TT</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、活化部分凝血酶时间</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APTT</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的相关性分析采用Spearman分析；HICH患者血清S1P水平与病情程度、D-D、TT的相关性为Spearman分析，与FIB、PT、APTT的相关性分析采用Pearson分析</w:t>
      </w:r>
    </w:p>
    <w:p w14:paraId="16B8B9CB">
      <w:pPr>
        <w:pStyle w:val="39"/>
        <w:spacing w:line="360" w:lineRule="auto"/>
        <w:jc w:val="center"/>
        <w:rPr>
          <w:rFonts w:ascii="Times New Roman" w:hAnsi="Times New Roman" w:eastAsia="宋体" w:cs="Times New Roman"/>
          <w:color w:val="auto"/>
        </w:rPr>
      </w:pPr>
      <w:r>
        <w:rPr>
          <w:rFonts w:ascii="Times New Roman" w:hAnsi="Times New Roman" w:eastAsia="宋体" w:cs="Times New Roman"/>
          <w:b/>
          <w:bCs/>
          <w:color w:val="auto"/>
        </w:rPr>
        <w:t>图1</w:t>
      </w:r>
      <w:r>
        <w:rPr>
          <w:rFonts w:ascii="Times New Roman" w:hAnsi="Times New Roman" w:eastAsia="宋体" w:cs="Times New Roman"/>
          <w:color w:val="auto"/>
        </w:rPr>
        <w:t xml:space="preserve"> </w:t>
      </w:r>
      <w:bookmarkStart w:id="3" w:name="OLE_LINK6"/>
      <w:r>
        <w:rPr>
          <w:rFonts w:ascii="Times New Roman" w:hAnsi="Times New Roman" w:eastAsia="宋体" w:cs="Times New Roman"/>
          <w:color w:val="auto"/>
        </w:rPr>
        <w:t xml:space="preserve"> </w:t>
      </w:r>
      <w:bookmarkStart w:id="4" w:name="OLE_LINK5"/>
      <w:bookmarkStart w:id="5" w:name="OLE_LINK4"/>
      <w:r>
        <w:rPr>
          <w:rFonts w:ascii="Times New Roman" w:hAnsi="Times New Roman" w:eastAsia="宋体" w:cs="Times New Roman"/>
          <w:color w:val="auto"/>
        </w:rPr>
        <w:t>高血压脑出血</w:t>
      </w:r>
      <w:r>
        <w:rPr>
          <w:rFonts w:hint="eastAsia" w:ascii="Times New Roman" w:hAnsi="Times New Roman" w:eastAsia="宋体" w:cs="Times New Roman"/>
          <w:color w:val="auto"/>
        </w:rPr>
        <w:t>（</w:t>
      </w:r>
      <w:r>
        <w:rPr>
          <w:rFonts w:ascii="Times New Roman" w:hAnsi="Times New Roman" w:eastAsia="宋体" w:cs="Times New Roman"/>
          <w:color w:val="auto"/>
        </w:rPr>
        <w:t>HICH</w:t>
      </w:r>
      <w:r>
        <w:rPr>
          <w:rFonts w:hint="eastAsia" w:ascii="Times New Roman" w:hAnsi="Times New Roman" w:eastAsia="宋体" w:cs="Times New Roman"/>
          <w:color w:val="auto"/>
        </w:rPr>
        <w:t>）</w:t>
      </w:r>
      <w:r>
        <w:rPr>
          <w:rFonts w:ascii="Times New Roman" w:hAnsi="Times New Roman" w:eastAsia="宋体" w:cs="Times New Roman"/>
          <w:color w:val="auto"/>
        </w:rPr>
        <w:t>患者血清血管内皮钙黏蛋白</w:t>
      </w:r>
      <w:r>
        <w:rPr>
          <w:rFonts w:hint="eastAsia" w:ascii="Times New Roman" w:hAnsi="Times New Roman" w:eastAsia="宋体" w:cs="Times New Roman"/>
          <w:color w:val="auto"/>
        </w:rPr>
        <w:t>（</w:t>
      </w:r>
      <w:r>
        <w:rPr>
          <w:rFonts w:ascii="Times New Roman" w:hAnsi="Times New Roman" w:eastAsia="宋体" w:cs="Times New Roman"/>
          <w:color w:val="auto"/>
        </w:rPr>
        <w:t>VE-cadherin</w:t>
      </w:r>
      <w:r>
        <w:rPr>
          <w:rFonts w:hint="eastAsia" w:ascii="Times New Roman" w:hAnsi="Times New Roman" w:eastAsia="宋体" w:cs="Times New Roman"/>
          <w:color w:val="auto"/>
        </w:rPr>
        <w:t>）</w:t>
      </w:r>
      <w:r>
        <w:rPr>
          <w:rFonts w:ascii="Times New Roman" w:hAnsi="Times New Roman" w:eastAsia="宋体" w:cs="Times New Roman"/>
          <w:color w:val="auto"/>
        </w:rPr>
        <w:t>、1-磷酸鞘氨酸</w:t>
      </w:r>
      <w:r>
        <w:rPr>
          <w:rFonts w:hint="eastAsia" w:ascii="Times New Roman" w:hAnsi="Times New Roman" w:eastAsia="宋体" w:cs="Times New Roman"/>
          <w:color w:val="auto"/>
        </w:rPr>
        <w:t>（</w:t>
      </w:r>
      <w:r>
        <w:rPr>
          <w:rFonts w:ascii="Times New Roman" w:hAnsi="Times New Roman" w:eastAsia="宋体" w:cs="Times New Roman"/>
          <w:color w:val="auto"/>
        </w:rPr>
        <w:t>S1P</w:t>
      </w:r>
      <w:r>
        <w:rPr>
          <w:rFonts w:hint="eastAsia" w:ascii="Times New Roman" w:hAnsi="Times New Roman" w:eastAsia="宋体" w:cs="Times New Roman"/>
          <w:color w:val="auto"/>
        </w:rPr>
        <w:t>）</w:t>
      </w:r>
      <w:r>
        <w:rPr>
          <w:rFonts w:ascii="Times New Roman" w:hAnsi="Times New Roman" w:eastAsia="宋体" w:cs="Times New Roman"/>
          <w:color w:val="auto"/>
        </w:rPr>
        <w:t>水平与病情程度、凝血功能的线性散点图</w:t>
      </w:r>
      <w:bookmarkEnd w:id="4"/>
    </w:p>
    <w:bookmarkEnd w:id="5"/>
    <w:p w14:paraId="562A3E64">
      <w:pPr>
        <w:pStyle w:val="39"/>
        <w:spacing w:line="360" w:lineRule="auto"/>
        <w:jc w:val="left"/>
        <w:rPr>
          <w:rFonts w:ascii="Times New Roman" w:hAnsi="Times New Roman" w:eastAsia="宋体" w:cs="Times New Roman"/>
          <w:color w:val="auto"/>
        </w:rPr>
      </w:pPr>
    </w:p>
    <w:bookmarkEnd w:id="3"/>
    <w:p w14:paraId="0359BEEA">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五、HICH患者短期预后的单因素分析</w:t>
      </w:r>
    </w:p>
    <w:p w14:paraId="24FDCD2F">
      <w:pPr>
        <w:pStyle w:val="29"/>
        <w:spacing w:line="360" w:lineRule="auto"/>
        <w:ind w:firstLine="420"/>
        <w:jc w:val="left"/>
        <w:rPr>
          <w:rFonts w:ascii="Times New Roman" w:hAnsi="Times New Roman" w:cs="Times New Roman"/>
          <w:color w:val="auto"/>
        </w:rPr>
      </w:pPr>
      <w:r>
        <w:rPr>
          <w:rFonts w:ascii="Times New Roman" w:hAnsi="Times New Roman" w:cs="Times New Roman"/>
          <w:color w:val="auto"/>
        </w:rPr>
        <w:t>随访6个月后，HICH患者的预后不良率为44.78%（60/134）。单因素分析显示：发病至入院时间、血肿体积、入院时GCS、入院时NIHSS评分、VE-cadherin、S1P均与HICH患者短期预后显著相关（</w:t>
      </w:r>
      <w:r>
        <w:rPr>
          <w:rFonts w:ascii="Times New Roman" w:hAnsi="Times New Roman" w:cs="Times New Roman"/>
          <w:i/>
          <w:color w:val="auto"/>
        </w:rPr>
        <w:t>P</w:t>
      </w:r>
      <w:r>
        <w:rPr>
          <w:rFonts w:ascii="Times New Roman" w:hAnsi="Times New Roman" w:cs="Times New Roman"/>
          <w:iCs/>
          <w:color w:val="auto"/>
        </w:rPr>
        <w:t>均</w:t>
      </w:r>
      <w:r>
        <w:rPr>
          <w:rFonts w:ascii="Times New Roman" w:hAnsi="Times New Roman" w:cs="Times New Roman"/>
          <w:color w:val="auto"/>
        </w:rPr>
        <w:t>&lt;0.05，表4），性别、年龄、体质量指数、高血压病程、不良嗜好、血压、基础疾病、出血部位、白细胞计数、血红蛋白、血小板计数、血肌酐、血尿素氮、C反应蛋白均与HICH患者短期预后无显著相关（</w:t>
      </w:r>
      <w:r>
        <w:rPr>
          <w:rFonts w:ascii="Times New Roman" w:hAnsi="Times New Roman" w:cs="Times New Roman"/>
          <w:i/>
          <w:color w:val="auto"/>
        </w:rPr>
        <w:t>P</w:t>
      </w:r>
      <w:r>
        <w:rPr>
          <w:rFonts w:ascii="Times New Roman" w:hAnsi="Times New Roman" w:cs="Times New Roman"/>
          <w:iCs/>
          <w:color w:val="auto"/>
        </w:rPr>
        <w:t>均</w:t>
      </w:r>
      <w:r>
        <w:rPr>
          <w:rFonts w:ascii="Times New Roman" w:hAnsi="Times New Roman" w:cs="Times New Roman"/>
          <w:color w:val="auto"/>
        </w:rPr>
        <w:t>＞0.05，表4）。</w:t>
      </w:r>
    </w:p>
    <w:p w14:paraId="212D4F7D">
      <w:pPr>
        <w:pStyle w:val="45"/>
        <w:spacing w:line="360" w:lineRule="auto"/>
        <w:ind w:firstLine="0" w:firstLineChars="0"/>
        <w:jc w:val="center"/>
        <w:rPr>
          <w:rFonts w:ascii="Times New Roman" w:hAnsi="Times New Roman" w:eastAsia="宋体" w:cs="Times New Roman"/>
          <w:color w:val="auto"/>
        </w:rPr>
      </w:pPr>
    </w:p>
    <w:p w14:paraId="37B54410">
      <w:pPr>
        <w:pStyle w:val="45"/>
        <w:spacing w:line="360" w:lineRule="auto"/>
        <w:ind w:firstLine="0" w:firstLineChars="0"/>
        <w:jc w:val="center"/>
        <w:rPr>
          <w:rFonts w:ascii="Times New Roman" w:hAnsi="Times New Roman" w:eastAsia="宋体" w:cs="Times New Roman"/>
          <w:color w:val="auto"/>
        </w:rPr>
      </w:pPr>
      <w:r>
        <w:rPr>
          <w:rFonts w:ascii="Times New Roman" w:hAnsi="Times New Roman" w:eastAsia="宋体" w:cs="Times New Roman"/>
          <w:b/>
          <w:bCs/>
          <w:color w:val="auto"/>
        </w:rPr>
        <w:t>表4</w:t>
      </w:r>
      <w:r>
        <w:rPr>
          <w:rFonts w:ascii="Times New Roman" w:hAnsi="Times New Roman" w:eastAsia="宋体" w:cs="Times New Roman"/>
          <w:color w:val="auto"/>
        </w:rPr>
        <w:t xml:space="preserve">  高血压脑出血患者短期预后的单因素分析</w:t>
      </w:r>
    </w:p>
    <w:tbl>
      <w:tblPr>
        <w:tblStyle w:val="11"/>
        <w:tblW w:w="4997" w:type="pct"/>
        <w:jc w:val="center"/>
        <w:tblBorders>
          <w:top w:val="single" w:color="000000" w:sz="6" w:space="0"/>
          <w:left w:val="none" w:color="auto" w:sz="0" w:space="0"/>
          <w:bottom w:val="single" w:color="000000" w:sz="6"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35"/>
        <w:gridCol w:w="2114"/>
        <w:gridCol w:w="2112"/>
        <w:gridCol w:w="991"/>
        <w:gridCol w:w="836"/>
      </w:tblGrid>
      <w:tr w14:paraId="5E99E9F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1907"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4000F84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项目</w:t>
            </w:r>
            <w:bookmarkStart w:id="6" w:name="FX_TBL_ID8000457A"/>
            <w:bookmarkEnd w:id="6"/>
          </w:p>
        </w:tc>
        <w:tc>
          <w:tcPr>
            <w:tcW w:w="107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0C1CCB3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良好组（</w:t>
            </w:r>
            <w:r>
              <w:rPr>
                <w:rFonts w:ascii="Times New Roman" w:hAnsi="Times New Roman" w:eastAsia="宋体" w:cs="Times New Roman"/>
                <w:i/>
                <w:color w:val="auto"/>
                <w:sz w:val="21"/>
              </w:rPr>
              <w:t>n</w:t>
            </w:r>
            <w:r>
              <w:rPr>
                <w:rFonts w:hint="eastAsia" w:ascii="Times New Roman" w:hAnsi="Times New Roman" w:eastAsia="宋体" w:cs="Times New Roman"/>
                <w:color w:val="auto"/>
                <w:sz w:val="21"/>
              </w:rPr>
              <w:t>=</w:t>
            </w:r>
            <w:r>
              <w:rPr>
                <w:rFonts w:ascii="Times New Roman" w:hAnsi="Times New Roman" w:eastAsia="宋体" w:cs="Times New Roman"/>
                <w:color w:val="auto"/>
                <w:sz w:val="21"/>
              </w:rPr>
              <w:t>74）</w:t>
            </w:r>
          </w:p>
        </w:tc>
        <w:tc>
          <w:tcPr>
            <w:tcW w:w="1078" w:type="pct"/>
            <w:tcBorders>
              <w:top w:val="single" w:color="000000" w:sz="6" w:space="0"/>
              <w:left w:val="nil"/>
              <w:bottom w:val="single" w:color="000000" w:sz="2" w:space="0"/>
              <w:right w:val="nil"/>
            </w:tcBorders>
            <w:shd w:val="clear" w:color="auto" w:fill="auto"/>
            <w:tcMar>
              <w:top w:w="23" w:type="dxa"/>
              <w:left w:w="23" w:type="dxa"/>
              <w:bottom w:w="23" w:type="dxa"/>
              <w:right w:w="23" w:type="dxa"/>
            </w:tcMar>
            <w:vAlign w:val="center"/>
          </w:tcPr>
          <w:p w14:paraId="3FB40307">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不良组（</w:t>
            </w:r>
            <w:r>
              <w:rPr>
                <w:rFonts w:ascii="Times New Roman" w:hAnsi="Times New Roman" w:eastAsia="宋体" w:cs="Times New Roman"/>
                <w:i/>
                <w:color w:val="auto"/>
                <w:sz w:val="21"/>
              </w:rPr>
              <w:t>n</w:t>
            </w:r>
            <w:r>
              <w:rPr>
                <w:rFonts w:hint="eastAsia" w:ascii="Times New Roman" w:hAnsi="Times New Roman" w:eastAsia="宋体" w:cs="Times New Roman"/>
                <w:color w:val="auto"/>
                <w:sz w:val="21"/>
              </w:rPr>
              <w:t>=</w:t>
            </w:r>
            <w:r>
              <w:rPr>
                <w:rFonts w:ascii="Times New Roman" w:hAnsi="Times New Roman" w:eastAsia="宋体" w:cs="Times New Roman"/>
                <w:color w:val="auto"/>
                <w:sz w:val="21"/>
              </w:rPr>
              <w:t>60）</w:t>
            </w:r>
          </w:p>
        </w:tc>
        <w:tc>
          <w:tcPr>
            <w:tcW w:w="506"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47ACE26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统计值</w:t>
            </w:r>
          </w:p>
        </w:tc>
        <w:tc>
          <w:tcPr>
            <w:tcW w:w="427"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4E77A24B">
            <w:pPr>
              <w:pStyle w:val="47"/>
              <w:spacing w:line="360" w:lineRule="auto"/>
              <w:rPr>
                <w:rFonts w:ascii="Times New Roman" w:hAnsi="Times New Roman" w:eastAsia="宋体" w:cs="Times New Roman"/>
                <w:iCs/>
                <w:color w:val="auto"/>
                <w:sz w:val="21"/>
              </w:rPr>
            </w:pPr>
            <w:r>
              <w:rPr>
                <w:rFonts w:ascii="Times New Roman" w:hAnsi="Times New Roman" w:eastAsia="宋体" w:cs="Times New Roman"/>
                <w:i/>
                <w:color w:val="auto"/>
                <w:sz w:val="21"/>
              </w:rPr>
              <w:t>P</w:t>
            </w:r>
            <w:r>
              <w:rPr>
                <w:rFonts w:ascii="Times New Roman" w:hAnsi="Times New Roman" w:eastAsia="宋体" w:cs="Times New Roman"/>
                <w:iCs/>
                <w:color w:val="auto"/>
                <w:sz w:val="21"/>
              </w:rPr>
              <w:t>值</w:t>
            </w:r>
          </w:p>
        </w:tc>
      </w:tr>
      <w:tr w14:paraId="187824B9">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single" w:color="000000" w:sz="2" w:space="0"/>
              <w:left w:val="nil"/>
              <w:bottom w:val="nil"/>
              <w:right w:val="nil"/>
            </w:tcBorders>
            <w:tcMar>
              <w:top w:w="23" w:type="dxa"/>
              <w:left w:w="23" w:type="dxa"/>
              <w:bottom w:w="23" w:type="dxa"/>
              <w:right w:w="23" w:type="dxa"/>
            </w:tcMar>
            <w:vAlign w:val="center"/>
          </w:tcPr>
          <w:p w14:paraId="51B196F3">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性别[例（%）]</w:t>
            </w:r>
          </w:p>
        </w:tc>
        <w:tc>
          <w:tcPr>
            <w:tcW w:w="1079" w:type="pct"/>
            <w:tcBorders>
              <w:top w:val="single" w:color="000000" w:sz="2" w:space="0"/>
              <w:left w:val="nil"/>
              <w:bottom w:val="nil"/>
              <w:right w:val="nil"/>
            </w:tcBorders>
            <w:tcMar>
              <w:top w:w="23" w:type="dxa"/>
              <w:left w:w="23" w:type="dxa"/>
              <w:bottom w:w="23" w:type="dxa"/>
              <w:right w:w="23" w:type="dxa"/>
            </w:tcMar>
            <w:vAlign w:val="center"/>
          </w:tcPr>
          <w:p w14:paraId="77585DC4">
            <w:pPr>
              <w:spacing w:line="360" w:lineRule="auto"/>
              <w:rPr>
                <w:rFonts w:ascii="Times New Roman" w:eastAsia="宋体" w:cs="Times New Roman"/>
                <w:color w:val="auto"/>
                <w:sz w:val="21"/>
              </w:rPr>
            </w:pPr>
          </w:p>
        </w:tc>
        <w:tc>
          <w:tcPr>
            <w:tcW w:w="1078" w:type="pct"/>
            <w:tcBorders>
              <w:top w:val="single" w:color="000000" w:sz="2" w:space="0"/>
              <w:left w:val="nil"/>
              <w:bottom w:val="nil"/>
              <w:right w:val="nil"/>
            </w:tcBorders>
            <w:shd w:val="clear" w:color="auto" w:fill="auto"/>
            <w:tcMar>
              <w:top w:w="23" w:type="dxa"/>
              <w:left w:w="23" w:type="dxa"/>
              <w:bottom w:w="23" w:type="dxa"/>
              <w:right w:w="23" w:type="dxa"/>
            </w:tcMar>
            <w:vAlign w:val="center"/>
          </w:tcPr>
          <w:p w14:paraId="5E5C4690">
            <w:pPr>
              <w:spacing w:line="360" w:lineRule="auto"/>
              <w:rPr>
                <w:rFonts w:ascii="Times New Roman" w:hAnsi="Times New Roman" w:eastAsia="宋体" w:cs="Times New Roman"/>
                <w:color w:val="auto"/>
                <w:sz w:val="21"/>
                <w:szCs w:val="22"/>
                <w:lang w:val="en-US" w:eastAsia="zh-CN" w:bidi="ar-SA"/>
              </w:rPr>
            </w:pPr>
          </w:p>
        </w:tc>
        <w:tc>
          <w:tcPr>
            <w:tcW w:w="506" w:type="pct"/>
            <w:tcBorders>
              <w:top w:val="single" w:color="000000" w:sz="2" w:space="0"/>
              <w:left w:val="nil"/>
              <w:bottom w:val="nil"/>
              <w:right w:val="nil"/>
            </w:tcBorders>
            <w:tcMar>
              <w:top w:w="23" w:type="dxa"/>
              <w:left w:w="23" w:type="dxa"/>
              <w:bottom w:w="23" w:type="dxa"/>
              <w:right w:w="23" w:type="dxa"/>
            </w:tcMar>
            <w:vAlign w:val="center"/>
          </w:tcPr>
          <w:p w14:paraId="14120F9B">
            <w:pPr>
              <w:spacing w:line="360" w:lineRule="auto"/>
              <w:jc w:val="center"/>
              <w:rPr>
                <w:rFonts w:ascii="Times New Roman" w:eastAsia="宋体" w:cs="Times New Roman"/>
                <w:color w:val="auto"/>
                <w:sz w:val="21"/>
              </w:rPr>
            </w:pPr>
            <w:r>
              <w:rPr>
                <w:rFonts w:ascii="Times New Roman" w:eastAsia="宋体" w:cs="Times New Roman"/>
                <w:i/>
                <w:color w:val="auto"/>
                <w:sz w:val="21"/>
                <w:szCs w:val="21"/>
              </w:rPr>
              <w:t>χ</w:t>
            </w:r>
            <w:r>
              <w:rPr>
                <w:rFonts w:ascii="Times New Roman" w:eastAsia="宋体" w:cs="Times New Roman"/>
                <w:color w:val="auto"/>
                <w:sz w:val="21"/>
                <w:szCs w:val="21"/>
                <w:vertAlign w:val="superscript"/>
              </w:rPr>
              <w:t>2</w:t>
            </w:r>
            <w:r>
              <w:rPr>
                <w:rFonts w:ascii="Times New Roman" w:eastAsia="宋体" w:cs="Times New Roman"/>
                <w:color w:val="auto"/>
                <w:sz w:val="21"/>
                <w:szCs w:val="21"/>
              </w:rPr>
              <w:t>=</w:t>
            </w:r>
            <w:r>
              <w:rPr>
                <w:rFonts w:ascii="Times New Roman" w:eastAsia="宋体" w:cs="Times New Roman"/>
                <w:color w:val="auto"/>
                <w:sz w:val="21"/>
              </w:rPr>
              <w:t>0.378</w:t>
            </w:r>
          </w:p>
        </w:tc>
        <w:tc>
          <w:tcPr>
            <w:tcW w:w="427" w:type="pct"/>
            <w:tcBorders>
              <w:top w:val="single" w:color="000000" w:sz="2" w:space="0"/>
              <w:left w:val="nil"/>
              <w:bottom w:val="nil"/>
              <w:right w:val="nil"/>
            </w:tcBorders>
            <w:tcMar>
              <w:top w:w="23" w:type="dxa"/>
              <w:left w:w="23" w:type="dxa"/>
              <w:bottom w:w="23" w:type="dxa"/>
              <w:right w:w="23" w:type="dxa"/>
            </w:tcMar>
            <w:vAlign w:val="center"/>
          </w:tcPr>
          <w:p w14:paraId="13ED7A43">
            <w:pPr>
              <w:spacing w:line="360" w:lineRule="auto"/>
              <w:jc w:val="center"/>
              <w:rPr>
                <w:rFonts w:ascii="Times New Roman" w:eastAsia="宋体" w:cs="Times New Roman"/>
                <w:color w:val="auto"/>
                <w:sz w:val="21"/>
              </w:rPr>
            </w:pPr>
            <w:r>
              <w:rPr>
                <w:rFonts w:ascii="Times New Roman" w:eastAsia="宋体" w:cs="Times New Roman"/>
                <w:color w:val="auto"/>
                <w:sz w:val="21"/>
              </w:rPr>
              <w:t>0.538</w:t>
            </w:r>
          </w:p>
        </w:tc>
      </w:tr>
      <w:tr w14:paraId="0398CEC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54259284">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男</w:t>
            </w:r>
          </w:p>
        </w:tc>
        <w:tc>
          <w:tcPr>
            <w:tcW w:w="1079" w:type="pct"/>
            <w:tcBorders>
              <w:top w:val="nil"/>
              <w:left w:val="nil"/>
              <w:bottom w:val="nil"/>
              <w:right w:val="nil"/>
            </w:tcBorders>
            <w:tcMar>
              <w:top w:w="23" w:type="dxa"/>
              <w:left w:w="23" w:type="dxa"/>
              <w:bottom w:w="23" w:type="dxa"/>
              <w:right w:w="23" w:type="dxa"/>
            </w:tcMar>
            <w:vAlign w:val="center"/>
          </w:tcPr>
          <w:p w14:paraId="0A4F3B4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43（58.11）</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37335019">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38（63.33）</w:t>
            </w:r>
          </w:p>
        </w:tc>
        <w:tc>
          <w:tcPr>
            <w:tcW w:w="506" w:type="pct"/>
            <w:tcBorders>
              <w:top w:val="nil"/>
              <w:left w:val="nil"/>
              <w:bottom w:val="nil"/>
              <w:right w:val="nil"/>
            </w:tcBorders>
            <w:tcMar>
              <w:top w:w="23" w:type="dxa"/>
              <w:left w:w="23" w:type="dxa"/>
              <w:bottom w:w="23" w:type="dxa"/>
              <w:right w:w="23" w:type="dxa"/>
            </w:tcMar>
            <w:vAlign w:val="center"/>
          </w:tcPr>
          <w:p w14:paraId="17262068">
            <w:pPr>
              <w:rPr>
                <w:rFonts w:ascii="Times New Roman" w:cs="Times New Roman"/>
                <w:color w:val="auto"/>
              </w:rPr>
            </w:pPr>
          </w:p>
        </w:tc>
        <w:tc>
          <w:tcPr>
            <w:tcW w:w="427" w:type="pct"/>
            <w:tcBorders>
              <w:top w:val="nil"/>
              <w:left w:val="nil"/>
              <w:bottom w:val="nil"/>
              <w:right w:val="nil"/>
            </w:tcBorders>
            <w:tcMar>
              <w:top w:w="23" w:type="dxa"/>
              <w:left w:w="23" w:type="dxa"/>
              <w:bottom w:w="23" w:type="dxa"/>
              <w:right w:w="23" w:type="dxa"/>
            </w:tcMar>
            <w:vAlign w:val="center"/>
          </w:tcPr>
          <w:p w14:paraId="68A10063">
            <w:pPr>
              <w:pStyle w:val="47"/>
              <w:spacing w:line="360" w:lineRule="auto"/>
              <w:rPr>
                <w:rFonts w:ascii="Times New Roman" w:hAnsi="Times New Roman" w:eastAsia="宋体" w:cs="Times New Roman"/>
                <w:color w:val="auto"/>
                <w:sz w:val="21"/>
              </w:rPr>
            </w:pPr>
          </w:p>
        </w:tc>
      </w:tr>
      <w:tr w14:paraId="1159FD0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18406E19">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女</w:t>
            </w:r>
          </w:p>
        </w:tc>
        <w:tc>
          <w:tcPr>
            <w:tcW w:w="1079" w:type="pct"/>
            <w:tcBorders>
              <w:top w:val="nil"/>
              <w:left w:val="nil"/>
              <w:bottom w:val="nil"/>
              <w:right w:val="nil"/>
            </w:tcBorders>
            <w:tcMar>
              <w:top w:w="23" w:type="dxa"/>
              <w:left w:w="23" w:type="dxa"/>
              <w:bottom w:w="23" w:type="dxa"/>
              <w:right w:w="23" w:type="dxa"/>
            </w:tcMar>
            <w:vAlign w:val="center"/>
          </w:tcPr>
          <w:p w14:paraId="1268FE5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31（41.89）</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60F32B59">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22（36.67）</w:t>
            </w:r>
          </w:p>
        </w:tc>
        <w:tc>
          <w:tcPr>
            <w:tcW w:w="506" w:type="pct"/>
            <w:tcBorders>
              <w:top w:val="nil"/>
              <w:left w:val="nil"/>
              <w:bottom w:val="nil"/>
              <w:right w:val="nil"/>
            </w:tcBorders>
            <w:tcMar>
              <w:top w:w="23" w:type="dxa"/>
              <w:left w:w="23" w:type="dxa"/>
              <w:bottom w:w="23" w:type="dxa"/>
              <w:right w:w="23" w:type="dxa"/>
            </w:tcMar>
            <w:vAlign w:val="center"/>
          </w:tcPr>
          <w:p w14:paraId="69E0F65F">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6BD2CEF2">
            <w:pPr>
              <w:spacing w:line="360" w:lineRule="auto"/>
              <w:jc w:val="center"/>
              <w:rPr>
                <w:rFonts w:ascii="Times New Roman" w:eastAsia="宋体" w:cs="Times New Roman"/>
                <w:color w:val="auto"/>
                <w:sz w:val="21"/>
              </w:rPr>
            </w:pPr>
          </w:p>
        </w:tc>
      </w:tr>
      <w:tr w14:paraId="4960FC2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44D74D3">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年龄（岁，</w:t>
            </w:r>
            <w:r>
              <w:rPr>
                <w:rFonts w:ascii="Times New Roman" w:hAnsi="Times New Roman" w:eastAsia="宋体" w:cs="Times New Roman"/>
                <w:color w:val="auto"/>
                <w:position w:val="-6"/>
                <w:sz w:val="21"/>
                <w:szCs w:val="21"/>
              </w:rPr>
              <w:object>
                <v:shape id="_x0000_i1036"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6" DrawAspect="Content" ObjectID="_1468075736" r:id="rId17">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6EAE096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6</w:t>
            </w:r>
            <w:r>
              <w:rPr>
                <w:rFonts w:hint="eastAsia" w:ascii="Times New Roman" w:hAnsi="Times New Roman" w:eastAsia="宋体" w:cs="Times New Roman"/>
                <w:color w:val="auto"/>
                <w:sz w:val="21"/>
                <w:lang w:val="en-US" w:eastAsia="zh-CN"/>
              </w:rPr>
              <w:t>2</w:t>
            </w:r>
            <w:r>
              <w:rPr>
                <w:rFonts w:ascii="Times New Roman" w:hAnsi="Times New Roman" w:eastAsia="宋体" w:cs="Times New Roman"/>
                <w:color w:val="auto"/>
                <w:sz w:val="21"/>
              </w:rPr>
              <w:t>.62±9.42</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65C16A11">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6</w:t>
            </w:r>
            <w:r>
              <w:rPr>
                <w:rFonts w:hint="eastAsia" w:ascii="Times New Roman" w:hAnsi="Times New Roman" w:eastAsia="宋体" w:cs="Times New Roman"/>
                <w:color w:val="auto"/>
                <w:sz w:val="21"/>
                <w:lang w:val="en-US" w:eastAsia="zh-CN"/>
              </w:rPr>
              <w:t>3.04</w:t>
            </w:r>
            <w:r>
              <w:rPr>
                <w:rFonts w:ascii="Times New Roman" w:hAnsi="Times New Roman" w:eastAsia="宋体" w:cs="Times New Roman"/>
                <w:color w:val="auto"/>
                <w:sz w:val="21"/>
              </w:rPr>
              <w:t>±9.18</w:t>
            </w:r>
          </w:p>
        </w:tc>
        <w:tc>
          <w:tcPr>
            <w:tcW w:w="506" w:type="pct"/>
            <w:tcBorders>
              <w:top w:val="nil"/>
              <w:left w:val="nil"/>
              <w:bottom w:val="nil"/>
              <w:right w:val="nil"/>
            </w:tcBorders>
            <w:tcMar>
              <w:top w:w="23" w:type="dxa"/>
              <w:left w:w="23" w:type="dxa"/>
              <w:bottom w:w="23" w:type="dxa"/>
              <w:right w:w="23" w:type="dxa"/>
            </w:tcMar>
            <w:vAlign w:val="center"/>
          </w:tcPr>
          <w:p w14:paraId="25AB9839">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0.260</w:t>
            </w:r>
          </w:p>
        </w:tc>
        <w:tc>
          <w:tcPr>
            <w:tcW w:w="427" w:type="pct"/>
            <w:tcBorders>
              <w:top w:val="nil"/>
              <w:left w:val="nil"/>
              <w:bottom w:val="nil"/>
              <w:right w:val="nil"/>
            </w:tcBorders>
            <w:tcMar>
              <w:top w:w="23" w:type="dxa"/>
              <w:left w:w="23" w:type="dxa"/>
              <w:bottom w:w="23" w:type="dxa"/>
              <w:right w:w="23" w:type="dxa"/>
            </w:tcMar>
            <w:vAlign w:val="center"/>
          </w:tcPr>
          <w:p w14:paraId="42FB9A73">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796</w:t>
            </w:r>
          </w:p>
        </w:tc>
      </w:tr>
      <w:tr w14:paraId="6872B8EF">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28B63DDC">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体质量指数（kg/m</w:t>
            </w:r>
            <w:r>
              <w:rPr>
                <w:rFonts w:ascii="Times New Roman" w:hAnsi="Times New Roman" w:eastAsia="宋体" w:cs="Times New Roman"/>
                <w:color w:val="auto"/>
                <w:sz w:val="21"/>
                <w:vertAlign w:val="superscript"/>
              </w:rPr>
              <w:t>2</w:t>
            </w:r>
            <w:r>
              <w:rPr>
                <w:rFonts w:ascii="Times New Roman" w:hAnsi="Times New Roman" w:eastAsia="宋体" w:cs="Times New Roman"/>
                <w:color w:val="auto"/>
                <w:sz w:val="21"/>
              </w:rPr>
              <w:t>，</w:t>
            </w:r>
            <w:r>
              <w:rPr>
                <w:rFonts w:ascii="Times New Roman" w:hAnsi="Times New Roman" w:eastAsia="宋体" w:cs="Times New Roman"/>
                <w:color w:val="auto"/>
                <w:position w:val="-6"/>
                <w:sz w:val="21"/>
                <w:szCs w:val="21"/>
              </w:rPr>
              <w:object>
                <v:shape id="_x0000_i1037"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7" DrawAspect="Content" ObjectID="_1468075737" r:id="rId18">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49A3E2A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24.50±2.34</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0BF8621A">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24.14±2.23</w:t>
            </w:r>
          </w:p>
        </w:tc>
        <w:tc>
          <w:tcPr>
            <w:tcW w:w="506" w:type="pct"/>
            <w:tcBorders>
              <w:top w:val="nil"/>
              <w:left w:val="nil"/>
              <w:bottom w:val="nil"/>
              <w:right w:val="nil"/>
            </w:tcBorders>
            <w:tcMar>
              <w:top w:w="23" w:type="dxa"/>
              <w:left w:w="23" w:type="dxa"/>
              <w:bottom w:w="23" w:type="dxa"/>
              <w:right w:w="23" w:type="dxa"/>
            </w:tcMar>
            <w:vAlign w:val="center"/>
          </w:tcPr>
          <w:p w14:paraId="2F3B614F">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1.289</w:t>
            </w:r>
          </w:p>
        </w:tc>
        <w:tc>
          <w:tcPr>
            <w:tcW w:w="427" w:type="pct"/>
            <w:tcBorders>
              <w:top w:val="nil"/>
              <w:left w:val="nil"/>
              <w:bottom w:val="nil"/>
              <w:right w:val="nil"/>
            </w:tcBorders>
            <w:tcMar>
              <w:top w:w="23" w:type="dxa"/>
              <w:left w:w="23" w:type="dxa"/>
              <w:bottom w:w="23" w:type="dxa"/>
              <w:right w:w="23" w:type="dxa"/>
            </w:tcMar>
            <w:vAlign w:val="center"/>
          </w:tcPr>
          <w:p w14:paraId="1410ED77">
            <w:pPr>
              <w:pStyle w:val="47"/>
              <w:spacing w:line="360" w:lineRule="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0.198</w:t>
            </w:r>
          </w:p>
        </w:tc>
      </w:tr>
      <w:tr w14:paraId="4C9192CD">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142D8656">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高血压病程[年，</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3157EAF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12.00（8.00，17.00）</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5A960364">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w:t>
            </w:r>
            <w:r>
              <w:rPr>
                <w:rFonts w:hint="eastAsia" w:ascii="Times New Roman" w:hAnsi="Times New Roman" w:eastAsia="宋体" w:cs="Times New Roman"/>
                <w:color w:val="auto"/>
                <w:sz w:val="21"/>
                <w:lang w:val="en-US" w:eastAsia="zh-CN"/>
              </w:rPr>
              <w:t>4</w:t>
            </w:r>
            <w:r>
              <w:rPr>
                <w:rFonts w:ascii="Times New Roman" w:hAnsi="Times New Roman" w:eastAsia="宋体" w:cs="Times New Roman"/>
                <w:color w:val="auto"/>
                <w:sz w:val="21"/>
              </w:rPr>
              <w:t>.00（7.50，19.00）</w:t>
            </w:r>
          </w:p>
        </w:tc>
        <w:tc>
          <w:tcPr>
            <w:tcW w:w="506" w:type="pct"/>
            <w:tcBorders>
              <w:top w:val="nil"/>
              <w:left w:val="nil"/>
              <w:bottom w:val="nil"/>
              <w:right w:val="nil"/>
            </w:tcBorders>
            <w:tcMar>
              <w:top w:w="23" w:type="dxa"/>
              <w:left w:w="23" w:type="dxa"/>
              <w:bottom w:w="23" w:type="dxa"/>
              <w:right w:w="23" w:type="dxa"/>
            </w:tcMar>
            <w:vAlign w:val="center"/>
          </w:tcPr>
          <w:p w14:paraId="14DEF2DC">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color w:val="auto"/>
                <w:sz w:val="21"/>
                <w:lang w:val="en-US" w:eastAsia="zh-CN"/>
              </w:rPr>
              <w:t>1.635</w:t>
            </w:r>
          </w:p>
        </w:tc>
        <w:tc>
          <w:tcPr>
            <w:tcW w:w="427" w:type="pct"/>
            <w:tcBorders>
              <w:top w:val="nil"/>
              <w:left w:val="nil"/>
              <w:bottom w:val="nil"/>
              <w:right w:val="nil"/>
            </w:tcBorders>
            <w:tcMar>
              <w:top w:w="23" w:type="dxa"/>
              <w:left w:w="23" w:type="dxa"/>
              <w:bottom w:w="23" w:type="dxa"/>
              <w:right w:w="23" w:type="dxa"/>
            </w:tcMar>
            <w:vAlign w:val="center"/>
          </w:tcPr>
          <w:p w14:paraId="48179A91">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102</w:t>
            </w:r>
          </w:p>
        </w:tc>
      </w:tr>
      <w:tr w14:paraId="4F33847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07B9B26B">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烟酒嗜好[例（%）]</w:t>
            </w:r>
          </w:p>
        </w:tc>
        <w:tc>
          <w:tcPr>
            <w:tcW w:w="1079" w:type="pct"/>
            <w:tcBorders>
              <w:top w:val="nil"/>
              <w:left w:val="nil"/>
              <w:bottom w:val="nil"/>
              <w:right w:val="nil"/>
            </w:tcBorders>
            <w:tcMar>
              <w:top w:w="23" w:type="dxa"/>
              <w:left w:w="23" w:type="dxa"/>
              <w:bottom w:w="23" w:type="dxa"/>
              <w:right w:w="23" w:type="dxa"/>
            </w:tcMar>
            <w:vAlign w:val="center"/>
          </w:tcPr>
          <w:p w14:paraId="31CB5D6F">
            <w:pPr>
              <w:spacing w:line="360" w:lineRule="auto"/>
              <w:rPr>
                <w:rFonts w:ascii="Times New Roman" w:eastAsia="宋体" w:cs="Times New Roman"/>
                <w:color w:val="auto"/>
                <w:sz w:val="21"/>
              </w:rPr>
            </w:pP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61CC34FA">
            <w:pPr>
              <w:spacing w:line="360" w:lineRule="auto"/>
              <w:rPr>
                <w:rFonts w:ascii="Times New Roman" w:hAnsi="Times New Roman" w:eastAsia="宋体" w:cs="Times New Roman"/>
                <w:color w:val="auto"/>
                <w:sz w:val="21"/>
                <w:szCs w:val="22"/>
                <w:lang w:val="en-US" w:eastAsia="zh-CN" w:bidi="ar-SA"/>
              </w:rPr>
            </w:pPr>
          </w:p>
        </w:tc>
        <w:tc>
          <w:tcPr>
            <w:tcW w:w="506" w:type="pct"/>
            <w:tcBorders>
              <w:top w:val="nil"/>
              <w:left w:val="nil"/>
              <w:bottom w:val="nil"/>
              <w:right w:val="nil"/>
            </w:tcBorders>
            <w:tcMar>
              <w:top w:w="23" w:type="dxa"/>
              <w:left w:w="23" w:type="dxa"/>
              <w:bottom w:w="23" w:type="dxa"/>
              <w:right w:w="23" w:type="dxa"/>
            </w:tcMar>
            <w:vAlign w:val="center"/>
          </w:tcPr>
          <w:p w14:paraId="2EB5BA67">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721949DC">
            <w:pPr>
              <w:spacing w:line="360" w:lineRule="auto"/>
              <w:jc w:val="center"/>
              <w:rPr>
                <w:rFonts w:ascii="Times New Roman" w:eastAsia="宋体" w:cs="Times New Roman"/>
                <w:color w:val="auto"/>
                <w:sz w:val="21"/>
              </w:rPr>
            </w:pPr>
          </w:p>
        </w:tc>
      </w:tr>
      <w:tr w14:paraId="2581D228">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066DB9B4">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饮酒</w:t>
            </w:r>
          </w:p>
        </w:tc>
        <w:tc>
          <w:tcPr>
            <w:tcW w:w="1079" w:type="pct"/>
            <w:tcBorders>
              <w:top w:val="nil"/>
              <w:left w:val="nil"/>
              <w:bottom w:val="nil"/>
              <w:right w:val="nil"/>
            </w:tcBorders>
            <w:tcMar>
              <w:top w:w="23" w:type="dxa"/>
              <w:left w:w="23" w:type="dxa"/>
              <w:bottom w:w="23" w:type="dxa"/>
              <w:right w:w="23" w:type="dxa"/>
            </w:tcMar>
            <w:vAlign w:val="center"/>
          </w:tcPr>
          <w:p w14:paraId="6ECCCAF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29（39.19）</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0CCC038B">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27（45.00）</w:t>
            </w:r>
          </w:p>
        </w:tc>
        <w:tc>
          <w:tcPr>
            <w:tcW w:w="506" w:type="pct"/>
            <w:tcBorders>
              <w:top w:val="nil"/>
              <w:left w:val="nil"/>
              <w:bottom w:val="nil"/>
              <w:right w:val="nil"/>
            </w:tcBorders>
            <w:tcMar>
              <w:top w:w="23" w:type="dxa"/>
              <w:left w:w="23" w:type="dxa"/>
              <w:bottom w:w="23" w:type="dxa"/>
              <w:right w:w="23" w:type="dxa"/>
            </w:tcMar>
            <w:vAlign w:val="center"/>
          </w:tcPr>
          <w:p w14:paraId="41941830">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w:t>
            </w:r>
            <w:r>
              <w:rPr>
                <w:rFonts w:ascii="Times New Roman" w:hAnsi="Times New Roman" w:eastAsia="宋体" w:cs="Times New Roman"/>
                <w:color w:val="auto"/>
                <w:sz w:val="21"/>
              </w:rPr>
              <w:t>0.460</w:t>
            </w:r>
          </w:p>
        </w:tc>
        <w:tc>
          <w:tcPr>
            <w:tcW w:w="427" w:type="pct"/>
            <w:tcBorders>
              <w:top w:val="nil"/>
              <w:left w:val="nil"/>
              <w:bottom w:val="nil"/>
              <w:right w:val="nil"/>
            </w:tcBorders>
            <w:tcMar>
              <w:top w:w="23" w:type="dxa"/>
              <w:left w:w="23" w:type="dxa"/>
              <w:bottom w:w="23" w:type="dxa"/>
              <w:right w:w="23" w:type="dxa"/>
            </w:tcMar>
            <w:vAlign w:val="center"/>
          </w:tcPr>
          <w:p w14:paraId="6970BFF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0.498</w:t>
            </w:r>
          </w:p>
        </w:tc>
      </w:tr>
      <w:tr w14:paraId="1D10CDA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0068176F">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吸烟</w:t>
            </w:r>
          </w:p>
        </w:tc>
        <w:tc>
          <w:tcPr>
            <w:tcW w:w="1079" w:type="pct"/>
            <w:tcBorders>
              <w:top w:val="nil"/>
              <w:left w:val="nil"/>
              <w:bottom w:val="nil"/>
              <w:right w:val="nil"/>
            </w:tcBorders>
            <w:tcMar>
              <w:top w:w="23" w:type="dxa"/>
              <w:left w:w="23" w:type="dxa"/>
              <w:bottom w:w="23" w:type="dxa"/>
              <w:right w:w="23" w:type="dxa"/>
            </w:tcMar>
            <w:vAlign w:val="center"/>
          </w:tcPr>
          <w:p w14:paraId="24B0486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20（27.03）</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6F85A42E">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20（33.33）</w:t>
            </w:r>
          </w:p>
        </w:tc>
        <w:tc>
          <w:tcPr>
            <w:tcW w:w="506" w:type="pct"/>
            <w:tcBorders>
              <w:top w:val="nil"/>
              <w:left w:val="nil"/>
              <w:bottom w:val="nil"/>
              <w:right w:val="nil"/>
            </w:tcBorders>
            <w:tcMar>
              <w:top w:w="23" w:type="dxa"/>
              <w:left w:w="23" w:type="dxa"/>
              <w:bottom w:w="23" w:type="dxa"/>
              <w:right w:w="23" w:type="dxa"/>
            </w:tcMar>
            <w:vAlign w:val="center"/>
          </w:tcPr>
          <w:p w14:paraId="19D7703E">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w:t>
            </w:r>
            <w:r>
              <w:rPr>
                <w:rFonts w:ascii="Times New Roman" w:hAnsi="Times New Roman" w:eastAsia="宋体" w:cs="Times New Roman"/>
                <w:color w:val="auto"/>
                <w:sz w:val="21"/>
              </w:rPr>
              <w:t>0.629</w:t>
            </w:r>
          </w:p>
        </w:tc>
        <w:tc>
          <w:tcPr>
            <w:tcW w:w="427" w:type="pct"/>
            <w:tcBorders>
              <w:top w:val="nil"/>
              <w:left w:val="nil"/>
              <w:bottom w:val="nil"/>
              <w:right w:val="nil"/>
            </w:tcBorders>
            <w:tcMar>
              <w:top w:w="23" w:type="dxa"/>
              <w:left w:w="23" w:type="dxa"/>
              <w:bottom w:w="23" w:type="dxa"/>
              <w:right w:w="23" w:type="dxa"/>
            </w:tcMar>
            <w:vAlign w:val="center"/>
          </w:tcPr>
          <w:p w14:paraId="78F9AA8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0.428</w:t>
            </w:r>
          </w:p>
        </w:tc>
      </w:tr>
      <w:tr w14:paraId="564C6104">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28AD23E8">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收缩压（mmHg，</w:t>
            </w:r>
            <w:r>
              <w:rPr>
                <w:rFonts w:ascii="Times New Roman" w:hAnsi="Times New Roman" w:eastAsia="宋体" w:cs="Times New Roman"/>
                <w:color w:val="auto"/>
                <w:position w:val="-6"/>
                <w:sz w:val="21"/>
                <w:szCs w:val="21"/>
              </w:rPr>
              <w:object>
                <v:shape id="_x0000_i1038"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8" DrawAspect="Content" ObjectID="_1468075738" r:id="rId19">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6846A9B9">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153.56±10.56</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548AB425">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156.98±12.83</w:t>
            </w:r>
          </w:p>
        </w:tc>
        <w:tc>
          <w:tcPr>
            <w:tcW w:w="506" w:type="pct"/>
            <w:tcBorders>
              <w:top w:val="nil"/>
              <w:left w:val="nil"/>
              <w:bottom w:val="nil"/>
              <w:right w:val="nil"/>
            </w:tcBorders>
            <w:tcMar>
              <w:top w:w="23" w:type="dxa"/>
              <w:left w:w="23" w:type="dxa"/>
              <w:bottom w:w="23" w:type="dxa"/>
              <w:right w:w="23" w:type="dxa"/>
            </w:tcMar>
            <w:vAlign w:val="center"/>
          </w:tcPr>
          <w:p w14:paraId="79EA054E">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0.989</w:t>
            </w:r>
          </w:p>
        </w:tc>
        <w:tc>
          <w:tcPr>
            <w:tcW w:w="427" w:type="pct"/>
            <w:tcBorders>
              <w:top w:val="nil"/>
              <w:left w:val="nil"/>
              <w:bottom w:val="nil"/>
              <w:right w:val="nil"/>
            </w:tcBorders>
            <w:tcMar>
              <w:top w:w="23" w:type="dxa"/>
              <w:left w:w="23" w:type="dxa"/>
              <w:bottom w:w="23" w:type="dxa"/>
              <w:right w:w="23" w:type="dxa"/>
            </w:tcMar>
            <w:vAlign w:val="center"/>
          </w:tcPr>
          <w:p w14:paraId="21DA7F25">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323</w:t>
            </w:r>
          </w:p>
        </w:tc>
      </w:tr>
      <w:tr w14:paraId="06F58658">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B32C798">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舒张压（mmHg，</w:t>
            </w:r>
            <w:r>
              <w:rPr>
                <w:rFonts w:ascii="Times New Roman" w:hAnsi="Times New Roman" w:eastAsia="宋体" w:cs="Times New Roman"/>
                <w:color w:val="auto"/>
                <w:position w:val="-6"/>
                <w:sz w:val="21"/>
                <w:szCs w:val="21"/>
              </w:rPr>
              <w:object>
                <v:shape id="_x0000_i1039"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39" DrawAspect="Content" ObjectID="_1468075739" r:id="rId20">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4347FAC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96.2</w:t>
            </w:r>
            <w:r>
              <w:rPr>
                <w:rFonts w:hint="eastAsia" w:ascii="Times New Roman" w:hAnsi="Times New Roman" w:eastAsia="宋体" w:cs="Times New Roman"/>
                <w:color w:val="auto"/>
                <w:sz w:val="21"/>
                <w:lang w:val="en-US" w:eastAsia="zh-CN"/>
              </w:rPr>
              <w:t>4</w:t>
            </w:r>
            <w:r>
              <w:rPr>
                <w:rFonts w:ascii="Times New Roman" w:hAnsi="Times New Roman" w:eastAsia="宋体" w:cs="Times New Roman"/>
                <w:color w:val="auto"/>
                <w:sz w:val="21"/>
              </w:rPr>
              <w:t>±4.90</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098A11C6">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97.</w:t>
            </w:r>
            <w:r>
              <w:rPr>
                <w:rFonts w:hint="eastAsia" w:ascii="Times New Roman" w:hAnsi="Times New Roman" w:eastAsia="宋体" w:cs="Times New Roman"/>
                <w:color w:val="auto"/>
                <w:sz w:val="21"/>
                <w:lang w:val="en-US" w:eastAsia="zh-CN"/>
              </w:rPr>
              <w:t>20</w:t>
            </w:r>
            <w:r>
              <w:rPr>
                <w:rFonts w:ascii="Times New Roman" w:hAnsi="Times New Roman" w:eastAsia="宋体" w:cs="Times New Roman"/>
                <w:color w:val="auto"/>
                <w:sz w:val="21"/>
              </w:rPr>
              <w:t>±5.49</w:t>
            </w:r>
          </w:p>
        </w:tc>
        <w:tc>
          <w:tcPr>
            <w:tcW w:w="506" w:type="pct"/>
            <w:tcBorders>
              <w:top w:val="nil"/>
              <w:left w:val="nil"/>
              <w:bottom w:val="nil"/>
              <w:right w:val="nil"/>
            </w:tcBorders>
            <w:tcMar>
              <w:top w:w="23" w:type="dxa"/>
              <w:left w:w="23" w:type="dxa"/>
              <w:bottom w:w="23" w:type="dxa"/>
              <w:right w:w="23" w:type="dxa"/>
            </w:tcMar>
            <w:vAlign w:val="center"/>
          </w:tcPr>
          <w:p w14:paraId="3B6BB420">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=1.</w:t>
            </w:r>
            <w:r>
              <w:rPr>
                <w:rFonts w:hint="eastAsia" w:ascii="Times New Roman" w:hAnsi="Times New Roman" w:eastAsia="宋体" w:cs="Times New Roman"/>
                <w:color w:val="auto"/>
                <w:sz w:val="21"/>
                <w:lang w:val="en-US" w:eastAsia="zh-CN"/>
              </w:rPr>
              <w:t>510</w:t>
            </w:r>
          </w:p>
        </w:tc>
        <w:tc>
          <w:tcPr>
            <w:tcW w:w="427" w:type="pct"/>
            <w:tcBorders>
              <w:top w:val="nil"/>
              <w:left w:val="nil"/>
              <w:bottom w:val="nil"/>
              <w:right w:val="nil"/>
            </w:tcBorders>
            <w:tcMar>
              <w:top w:w="23" w:type="dxa"/>
              <w:left w:w="23" w:type="dxa"/>
              <w:bottom w:w="23" w:type="dxa"/>
              <w:right w:w="23" w:type="dxa"/>
            </w:tcMar>
            <w:vAlign w:val="center"/>
          </w:tcPr>
          <w:p w14:paraId="2DEA0CB0">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1322</w:t>
            </w:r>
          </w:p>
        </w:tc>
      </w:tr>
      <w:tr w14:paraId="40A33129">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142F9F9C">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基础疾病[例（%）]</w:t>
            </w:r>
          </w:p>
        </w:tc>
        <w:tc>
          <w:tcPr>
            <w:tcW w:w="1079" w:type="pct"/>
            <w:tcBorders>
              <w:top w:val="nil"/>
              <w:left w:val="nil"/>
              <w:bottom w:val="nil"/>
              <w:right w:val="nil"/>
            </w:tcBorders>
            <w:tcMar>
              <w:top w:w="23" w:type="dxa"/>
              <w:left w:w="23" w:type="dxa"/>
              <w:bottom w:w="23" w:type="dxa"/>
              <w:right w:w="23" w:type="dxa"/>
            </w:tcMar>
            <w:vAlign w:val="center"/>
          </w:tcPr>
          <w:p w14:paraId="759916B7">
            <w:pPr>
              <w:spacing w:line="360" w:lineRule="auto"/>
              <w:rPr>
                <w:rFonts w:ascii="Times New Roman" w:eastAsia="宋体" w:cs="Times New Roman"/>
                <w:color w:val="auto"/>
                <w:sz w:val="21"/>
              </w:rPr>
            </w:pP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0D095928">
            <w:pPr>
              <w:spacing w:line="360" w:lineRule="auto"/>
              <w:rPr>
                <w:rFonts w:ascii="Times New Roman" w:hAnsi="Times New Roman" w:eastAsia="宋体" w:cs="Times New Roman"/>
                <w:color w:val="auto"/>
                <w:sz w:val="21"/>
                <w:szCs w:val="22"/>
                <w:lang w:val="en-US" w:eastAsia="zh-CN" w:bidi="ar-SA"/>
              </w:rPr>
            </w:pPr>
          </w:p>
        </w:tc>
        <w:tc>
          <w:tcPr>
            <w:tcW w:w="506" w:type="pct"/>
            <w:tcBorders>
              <w:top w:val="nil"/>
              <w:left w:val="nil"/>
              <w:bottom w:val="nil"/>
              <w:right w:val="nil"/>
            </w:tcBorders>
            <w:tcMar>
              <w:top w:w="23" w:type="dxa"/>
              <w:left w:w="23" w:type="dxa"/>
              <w:bottom w:w="23" w:type="dxa"/>
              <w:right w:w="23" w:type="dxa"/>
            </w:tcMar>
            <w:vAlign w:val="center"/>
          </w:tcPr>
          <w:p w14:paraId="7AA74AA2">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3AAE0283">
            <w:pPr>
              <w:spacing w:line="360" w:lineRule="auto"/>
              <w:jc w:val="center"/>
              <w:rPr>
                <w:rFonts w:ascii="Times New Roman" w:eastAsia="宋体" w:cs="Times New Roman"/>
                <w:color w:val="auto"/>
                <w:sz w:val="21"/>
              </w:rPr>
            </w:pPr>
          </w:p>
        </w:tc>
      </w:tr>
      <w:tr w14:paraId="19B3D730">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FA1B601">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糖尿病</w:t>
            </w:r>
          </w:p>
        </w:tc>
        <w:tc>
          <w:tcPr>
            <w:tcW w:w="1079" w:type="pct"/>
            <w:tcBorders>
              <w:top w:val="nil"/>
              <w:left w:val="nil"/>
              <w:bottom w:val="nil"/>
              <w:right w:val="nil"/>
            </w:tcBorders>
            <w:tcMar>
              <w:top w:w="23" w:type="dxa"/>
              <w:left w:w="23" w:type="dxa"/>
              <w:bottom w:w="23" w:type="dxa"/>
              <w:right w:w="23" w:type="dxa"/>
            </w:tcMar>
            <w:vAlign w:val="center"/>
          </w:tcPr>
          <w:p w14:paraId="10C75B3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18（24.32）</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5D945CA6">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18（30.00）</w:t>
            </w:r>
          </w:p>
        </w:tc>
        <w:tc>
          <w:tcPr>
            <w:tcW w:w="506" w:type="pct"/>
            <w:tcBorders>
              <w:top w:val="nil"/>
              <w:left w:val="nil"/>
              <w:bottom w:val="nil"/>
              <w:right w:val="nil"/>
            </w:tcBorders>
            <w:tcMar>
              <w:top w:w="23" w:type="dxa"/>
              <w:left w:w="23" w:type="dxa"/>
              <w:bottom w:w="23" w:type="dxa"/>
              <w:right w:w="23" w:type="dxa"/>
            </w:tcMar>
            <w:vAlign w:val="center"/>
          </w:tcPr>
          <w:p w14:paraId="4B023B78">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w:t>
            </w:r>
            <w:r>
              <w:rPr>
                <w:rFonts w:ascii="Times New Roman" w:hAnsi="Times New Roman" w:eastAsia="宋体" w:cs="Times New Roman"/>
                <w:color w:val="auto"/>
                <w:sz w:val="21"/>
              </w:rPr>
              <w:t>0.543</w:t>
            </w:r>
          </w:p>
        </w:tc>
        <w:tc>
          <w:tcPr>
            <w:tcW w:w="427" w:type="pct"/>
            <w:tcBorders>
              <w:top w:val="nil"/>
              <w:left w:val="nil"/>
              <w:bottom w:val="nil"/>
              <w:right w:val="nil"/>
            </w:tcBorders>
            <w:tcMar>
              <w:top w:w="23" w:type="dxa"/>
              <w:left w:w="23" w:type="dxa"/>
              <w:bottom w:w="23" w:type="dxa"/>
              <w:right w:w="23" w:type="dxa"/>
            </w:tcMar>
            <w:vAlign w:val="center"/>
          </w:tcPr>
          <w:p w14:paraId="2FB04E2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0.461</w:t>
            </w:r>
          </w:p>
        </w:tc>
      </w:tr>
      <w:tr w14:paraId="44F9DB9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235300D1">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高脂血症</w:t>
            </w:r>
          </w:p>
        </w:tc>
        <w:tc>
          <w:tcPr>
            <w:tcW w:w="1079" w:type="pct"/>
            <w:tcBorders>
              <w:top w:val="nil"/>
              <w:left w:val="nil"/>
              <w:bottom w:val="nil"/>
              <w:right w:val="nil"/>
            </w:tcBorders>
            <w:tcMar>
              <w:top w:w="23" w:type="dxa"/>
              <w:left w:w="23" w:type="dxa"/>
              <w:bottom w:w="23" w:type="dxa"/>
              <w:right w:w="23" w:type="dxa"/>
            </w:tcMar>
            <w:vAlign w:val="center"/>
          </w:tcPr>
          <w:p w14:paraId="05D2344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13（17.57）</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2CC836FE">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14（23.33）</w:t>
            </w:r>
          </w:p>
        </w:tc>
        <w:tc>
          <w:tcPr>
            <w:tcW w:w="506" w:type="pct"/>
            <w:tcBorders>
              <w:top w:val="nil"/>
              <w:left w:val="nil"/>
              <w:bottom w:val="nil"/>
              <w:right w:val="nil"/>
            </w:tcBorders>
            <w:tcMar>
              <w:top w:w="23" w:type="dxa"/>
              <w:left w:w="23" w:type="dxa"/>
              <w:bottom w:w="23" w:type="dxa"/>
              <w:right w:w="23" w:type="dxa"/>
            </w:tcMar>
            <w:vAlign w:val="center"/>
          </w:tcPr>
          <w:p w14:paraId="6C2CCD9A">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w:t>
            </w:r>
            <w:r>
              <w:rPr>
                <w:rFonts w:ascii="Times New Roman" w:hAnsi="Times New Roman" w:eastAsia="宋体" w:cs="Times New Roman"/>
                <w:color w:val="auto"/>
                <w:sz w:val="21"/>
              </w:rPr>
              <w:t>0.685</w:t>
            </w:r>
          </w:p>
        </w:tc>
        <w:tc>
          <w:tcPr>
            <w:tcW w:w="427" w:type="pct"/>
            <w:tcBorders>
              <w:top w:val="nil"/>
              <w:left w:val="nil"/>
              <w:bottom w:val="nil"/>
              <w:right w:val="nil"/>
            </w:tcBorders>
            <w:tcMar>
              <w:top w:w="23" w:type="dxa"/>
              <w:left w:w="23" w:type="dxa"/>
              <w:bottom w:w="23" w:type="dxa"/>
              <w:right w:w="23" w:type="dxa"/>
            </w:tcMar>
            <w:vAlign w:val="center"/>
          </w:tcPr>
          <w:p w14:paraId="0DD87B2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0.408</w:t>
            </w:r>
          </w:p>
        </w:tc>
      </w:tr>
      <w:tr w14:paraId="15A51E49">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06A07D2">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冠心病</w:t>
            </w:r>
          </w:p>
        </w:tc>
        <w:tc>
          <w:tcPr>
            <w:tcW w:w="1079" w:type="pct"/>
            <w:tcBorders>
              <w:top w:val="nil"/>
              <w:left w:val="nil"/>
              <w:bottom w:val="nil"/>
              <w:right w:val="nil"/>
            </w:tcBorders>
            <w:tcMar>
              <w:top w:w="23" w:type="dxa"/>
              <w:left w:w="23" w:type="dxa"/>
              <w:bottom w:w="23" w:type="dxa"/>
              <w:right w:w="23" w:type="dxa"/>
            </w:tcMar>
            <w:vAlign w:val="center"/>
          </w:tcPr>
          <w:p w14:paraId="232C3C5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16（21.62）</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4F7BB2C8">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15（25.00）</w:t>
            </w:r>
          </w:p>
        </w:tc>
        <w:tc>
          <w:tcPr>
            <w:tcW w:w="506" w:type="pct"/>
            <w:tcBorders>
              <w:top w:val="nil"/>
              <w:left w:val="nil"/>
              <w:bottom w:val="nil"/>
              <w:right w:val="nil"/>
            </w:tcBorders>
            <w:tcMar>
              <w:top w:w="23" w:type="dxa"/>
              <w:left w:w="23" w:type="dxa"/>
              <w:bottom w:w="23" w:type="dxa"/>
              <w:right w:w="23" w:type="dxa"/>
            </w:tcMar>
            <w:vAlign w:val="center"/>
          </w:tcPr>
          <w:p w14:paraId="7314A701">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w:t>
            </w:r>
            <w:r>
              <w:rPr>
                <w:rFonts w:ascii="Times New Roman" w:hAnsi="Times New Roman" w:eastAsia="宋体" w:cs="Times New Roman"/>
                <w:color w:val="auto"/>
                <w:sz w:val="21"/>
              </w:rPr>
              <w:t>0.213</w:t>
            </w:r>
          </w:p>
        </w:tc>
        <w:tc>
          <w:tcPr>
            <w:tcW w:w="427" w:type="pct"/>
            <w:tcBorders>
              <w:top w:val="nil"/>
              <w:left w:val="nil"/>
              <w:bottom w:val="nil"/>
              <w:right w:val="nil"/>
            </w:tcBorders>
            <w:tcMar>
              <w:top w:w="23" w:type="dxa"/>
              <w:left w:w="23" w:type="dxa"/>
              <w:bottom w:w="23" w:type="dxa"/>
              <w:right w:w="23" w:type="dxa"/>
            </w:tcMar>
            <w:vAlign w:val="center"/>
          </w:tcPr>
          <w:p w14:paraId="7A57CEC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0.645</w:t>
            </w:r>
          </w:p>
        </w:tc>
      </w:tr>
      <w:tr w14:paraId="6A3482D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7A879694">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出血部位[例（%）]</w:t>
            </w:r>
          </w:p>
        </w:tc>
        <w:tc>
          <w:tcPr>
            <w:tcW w:w="1079" w:type="pct"/>
            <w:tcBorders>
              <w:top w:val="nil"/>
              <w:left w:val="nil"/>
              <w:bottom w:val="nil"/>
              <w:right w:val="nil"/>
            </w:tcBorders>
            <w:tcMar>
              <w:top w:w="23" w:type="dxa"/>
              <w:left w:w="23" w:type="dxa"/>
              <w:bottom w:w="23" w:type="dxa"/>
              <w:right w:w="23" w:type="dxa"/>
            </w:tcMar>
            <w:vAlign w:val="center"/>
          </w:tcPr>
          <w:p w14:paraId="6997A6DE">
            <w:pPr>
              <w:spacing w:line="360" w:lineRule="auto"/>
              <w:rPr>
                <w:rFonts w:ascii="Times New Roman" w:eastAsia="宋体" w:cs="Times New Roman"/>
                <w:color w:val="auto"/>
                <w:sz w:val="21"/>
              </w:rPr>
            </w:pP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29C5A7AA">
            <w:pPr>
              <w:spacing w:line="360" w:lineRule="auto"/>
              <w:rPr>
                <w:rFonts w:ascii="Times New Roman" w:hAnsi="Times New Roman" w:eastAsia="宋体" w:cs="Times New Roman"/>
                <w:color w:val="auto"/>
                <w:sz w:val="21"/>
                <w:szCs w:val="22"/>
                <w:lang w:val="en-US" w:eastAsia="zh-CN" w:bidi="ar-SA"/>
              </w:rPr>
            </w:pPr>
          </w:p>
        </w:tc>
        <w:tc>
          <w:tcPr>
            <w:tcW w:w="506" w:type="pct"/>
            <w:tcBorders>
              <w:top w:val="nil"/>
              <w:left w:val="nil"/>
              <w:bottom w:val="nil"/>
              <w:right w:val="nil"/>
            </w:tcBorders>
            <w:tcMar>
              <w:top w:w="23" w:type="dxa"/>
              <w:left w:w="23" w:type="dxa"/>
              <w:bottom w:w="23" w:type="dxa"/>
              <w:right w:w="23" w:type="dxa"/>
            </w:tcMar>
            <w:vAlign w:val="center"/>
          </w:tcPr>
          <w:p w14:paraId="79E98762">
            <w:pPr>
              <w:spacing w:line="360" w:lineRule="auto"/>
              <w:jc w:val="center"/>
              <w:rPr>
                <w:rFonts w:ascii="Times New Roman" w:eastAsia="宋体" w:cs="Times New Roman"/>
                <w:color w:val="auto"/>
                <w:sz w:val="21"/>
              </w:rPr>
            </w:pPr>
            <w:r>
              <w:rPr>
                <w:rFonts w:ascii="Times New Roman" w:eastAsia="宋体" w:cs="Times New Roman"/>
                <w:i/>
                <w:color w:val="auto"/>
                <w:sz w:val="21"/>
                <w:szCs w:val="21"/>
              </w:rPr>
              <w:t>χ</w:t>
            </w:r>
            <w:r>
              <w:rPr>
                <w:rFonts w:ascii="Times New Roman" w:eastAsia="宋体" w:cs="Times New Roman"/>
                <w:color w:val="auto"/>
                <w:sz w:val="21"/>
                <w:szCs w:val="21"/>
                <w:vertAlign w:val="superscript"/>
              </w:rPr>
              <w:t>2</w:t>
            </w:r>
            <w:r>
              <w:rPr>
                <w:rFonts w:ascii="Times New Roman" w:eastAsia="宋体" w:cs="Times New Roman"/>
                <w:color w:val="auto"/>
                <w:sz w:val="21"/>
                <w:szCs w:val="21"/>
              </w:rPr>
              <w:t>=</w:t>
            </w:r>
            <w:r>
              <w:rPr>
                <w:rFonts w:ascii="Times New Roman" w:eastAsia="宋体" w:cs="Times New Roman"/>
                <w:color w:val="auto"/>
                <w:sz w:val="21"/>
              </w:rPr>
              <w:t>1.239</w:t>
            </w:r>
          </w:p>
        </w:tc>
        <w:tc>
          <w:tcPr>
            <w:tcW w:w="427" w:type="pct"/>
            <w:tcBorders>
              <w:top w:val="nil"/>
              <w:left w:val="nil"/>
              <w:bottom w:val="nil"/>
              <w:right w:val="nil"/>
            </w:tcBorders>
            <w:tcMar>
              <w:top w:w="23" w:type="dxa"/>
              <w:left w:w="23" w:type="dxa"/>
              <w:bottom w:w="23" w:type="dxa"/>
              <w:right w:w="23" w:type="dxa"/>
            </w:tcMar>
            <w:vAlign w:val="center"/>
          </w:tcPr>
          <w:p w14:paraId="0EFBBAA8">
            <w:pPr>
              <w:spacing w:line="360" w:lineRule="auto"/>
              <w:jc w:val="center"/>
              <w:rPr>
                <w:rFonts w:ascii="Times New Roman" w:eastAsia="宋体" w:cs="Times New Roman"/>
                <w:color w:val="auto"/>
                <w:sz w:val="21"/>
              </w:rPr>
            </w:pPr>
            <w:r>
              <w:rPr>
                <w:rFonts w:ascii="Times New Roman" w:eastAsia="宋体" w:cs="Times New Roman"/>
                <w:color w:val="auto"/>
                <w:sz w:val="21"/>
              </w:rPr>
              <w:t>0.941</w:t>
            </w:r>
          </w:p>
        </w:tc>
      </w:tr>
      <w:tr w14:paraId="107DC8D2">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7B8C5AB4">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脑干</w:t>
            </w:r>
          </w:p>
        </w:tc>
        <w:tc>
          <w:tcPr>
            <w:tcW w:w="1079" w:type="pct"/>
            <w:tcBorders>
              <w:top w:val="nil"/>
              <w:left w:val="nil"/>
              <w:bottom w:val="nil"/>
              <w:right w:val="nil"/>
            </w:tcBorders>
            <w:tcMar>
              <w:top w:w="23" w:type="dxa"/>
              <w:left w:w="23" w:type="dxa"/>
              <w:bottom w:w="23" w:type="dxa"/>
              <w:right w:w="23" w:type="dxa"/>
            </w:tcMar>
            <w:vAlign w:val="center"/>
          </w:tcPr>
          <w:p w14:paraId="2ACB546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4（5.41）</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32FC66CD">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4（6.67）</w:t>
            </w:r>
          </w:p>
        </w:tc>
        <w:tc>
          <w:tcPr>
            <w:tcW w:w="506" w:type="pct"/>
            <w:tcBorders>
              <w:top w:val="nil"/>
              <w:left w:val="nil"/>
              <w:bottom w:val="nil"/>
              <w:right w:val="nil"/>
            </w:tcBorders>
            <w:tcMar>
              <w:top w:w="23" w:type="dxa"/>
              <w:left w:w="23" w:type="dxa"/>
              <w:bottom w:w="23" w:type="dxa"/>
              <w:right w:w="23" w:type="dxa"/>
            </w:tcMar>
            <w:vAlign w:val="center"/>
          </w:tcPr>
          <w:p w14:paraId="00D216BF">
            <w:pPr>
              <w:rPr>
                <w:rFonts w:ascii="Times New Roman" w:cs="Times New Roman"/>
                <w:color w:val="auto"/>
              </w:rPr>
            </w:pPr>
          </w:p>
        </w:tc>
        <w:tc>
          <w:tcPr>
            <w:tcW w:w="427" w:type="pct"/>
            <w:tcBorders>
              <w:top w:val="nil"/>
              <w:left w:val="nil"/>
              <w:bottom w:val="nil"/>
              <w:right w:val="nil"/>
            </w:tcBorders>
            <w:tcMar>
              <w:top w:w="23" w:type="dxa"/>
              <w:left w:w="23" w:type="dxa"/>
              <w:bottom w:w="23" w:type="dxa"/>
              <w:right w:w="23" w:type="dxa"/>
            </w:tcMar>
            <w:vAlign w:val="center"/>
          </w:tcPr>
          <w:p w14:paraId="1FB8D2DA">
            <w:pPr>
              <w:pStyle w:val="47"/>
              <w:spacing w:line="360" w:lineRule="auto"/>
              <w:rPr>
                <w:rFonts w:ascii="Times New Roman" w:hAnsi="Times New Roman" w:eastAsia="宋体" w:cs="Times New Roman"/>
                <w:color w:val="auto"/>
                <w:sz w:val="21"/>
              </w:rPr>
            </w:pPr>
          </w:p>
        </w:tc>
      </w:tr>
      <w:tr w14:paraId="5446434E">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48DC8AD">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小脑</w:t>
            </w:r>
          </w:p>
        </w:tc>
        <w:tc>
          <w:tcPr>
            <w:tcW w:w="1079" w:type="pct"/>
            <w:tcBorders>
              <w:top w:val="nil"/>
              <w:left w:val="nil"/>
              <w:bottom w:val="nil"/>
              <w:right w:val="nil"/>
            </w:tcBorders>
            <w:tcMar>
              <w:top w:w="23" w:type="dxa"/>
              <w:left w:w="23" w:type="dxa"/>
              <w:bottom w:w="23" w:type="dxa"/>
              <w:right w:w="23" w:type="dxa"/>
            </w:tcMar>
            <w:vAlign w:val="center"/>
          </w:tcPr>
          <w:p w14:paraId="710E4DF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10（13.51）</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4CD1206B">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7（11.67）</w:t>
            </w:r>
          </w:p>
        </w:tc>
        <w:tc>
          <w:tcPr>
            <w:tcW w:w="506" w:type="pct"/>
            <w:tcBorders>
              <w:top w:val="nil"/>
              <w:left w:val="nil"/>
              <w:bottom w:val="nil"/>
              <w:right w:val="nil"/>
            </w:tcBorders>
            <w:tcMar>
              <w:top w:w="23" w:type="dxa"/>
              <w:left w:w="23" w:type="dxa"/>
              <w:bottom w:w="23" w:type="dxa"/>
              <w:right w:w="23" w:type="dxa"/>
            </w:tcMar>
            <w:vAlign w:val="center"/>
          </w:tcPr>
          <w:p w14:paraId="1F008304">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0DD58B1B">
            <w:pPr>
              <w:spacing w:line="360" w:lineRule="auto"/>
              <w:jc w:val="center"/>
              <w:rPr>
                <w:rFonts w:ascii="Times New Roman" w:eastAsia="宋体" w:cs="Times New Roman"/>
                <w:color w:val="auto"/>
                <w:sz w:val="21"/>
              </w:rPr>
            </w:pPr>
          </w:p>
        </w:tc>
      </w:tr>
      <w:tr w14:paraId="37AB777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2690DF87">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脑室</w:t>
            </w:r>
          </w:p>
        </w:tc>
        <w:tc>
          <w:tcPr>
            <w:tcW w:w="1079" w:type="pct"/>
            <w:tcBorders>
              <w:top w:val="nil"/>
              <w:left w:val="nil"/>
              <w:bottom w:val="nil"/>
              <w:right w:val="nil"/>
            </w:tcBorders>
            <w:tcMar>
              <w:top w:w="23" w:type="dxa"/>
              <w:left w:w="23" w:type="dxa"/>
              <w:bottom w:w="23" w:type="dxa"/>
              <w:right w:w="23" w:type="dxa"/>
            </w:tcMar>
            <w:vAlign w:val="center"/>
          </w:tcPr>
          <w:p w14:paraId="7B59789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7（9.46）</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3274E505">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8（13.33）</w:t>
            </w:r>
          </w:p>
        </w:tc>
        <w:tc>
          <w:tcPr>
            <w:tcW w:w="506" w:type="pct"/>
            <w:tcBorders>
              <w:top w:val="nil"/>
              <w:left w:val="nil"/>
              <w:bottom w:val="nil"/>
              <w:right w:val="nil"/>
            </w:tcBorders>
            <w:tcMar>
              <w:top w:w="23" w:type="dxa"/>
              <w:left w:w="23" w:type="dxa"/>
              <w:bottom w:w="23" w:type="dxa"/>
              <w:right w:w="23" w:type="dxa"/>
            </w:tcMar>
            <w:vAlign w:val="center"/>
          </w:tcPr>
          <w:p w14:paraId="5EB83404">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4982BD78">
            <w:pPr>
              <w:spacing w:line="360" w:lineRule="auto"/>
              <w:jc w:val="center"/>
              <w:rPr>
                <w:rFonts w:ascii="Times New Roman" w:eastAsia="宋体" w:cs="Times New Roman"/>
                <w:color w:val="auto"/>
                <w:sz w:val="21"/>
              </w:rPr>
            </w:pPr>
          </w:p>
        </w:tc>
      </w:tr>
      <w:tr w14:paraId="5F6DC2B8">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812E606">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丘脑</w:t>
            </w:r>
          </w:p>
        </w:tc>
        <w:tc>
          <w:tcPr>
            <w:tcW w:w="1079" w:type="pct"/>
            <w:tcBorders>
              <w:top w:val="nil"/>
              <w:left w:val="nil"/>
              <w:bottom w:val="nil"/>
              <w:right w:val="nil"/>
            </w:tcBorders>
            <w:tcMar>
              <w:top w:w="23" w:type="dxa"/>
              <w:left w:w="23" w:type="dxa"/>
              <w:bottom w:w="23" w:type="dxa"/>
              <w:right w:w="23" w:type="dxa"/>
            </w:tcMar>
            <w:vAlign w:val="center"/>
          </w:tcPr>
          <w:p w14:paraId="1E1148E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18（24.32）</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1826F301">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13（21.67）</w:t>
            </w:r>
          </w:p>
        </w:tc>
        <w:tc>
          <w:tcPr>
            <w:tcW w:w="506" w:type="pct"/>
            <w:tcBorders>
              <w:top w:val="nil"/>
              <w:left w:val="nil"/>
              <w:bottom w:val="nil"/>
              <w:right w:val="nil"/>
            </w:tcBorders>
            <w:tcMar>
              <w:top w:w="23" w:type="dxa"/>
              <w:left w:w="23" w:type="dxa"/>
              <w:bottom w:w="23" w:type="dxa"/>
              <w:right w:w="23" w:type="dxa"/>
            </w:tcMar>
            <w:vAlign w:val="center"/>
          </w:tcPr>
          <w:p w14:paraId="37F63C34">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29453778">
            <w:pPr>
              <w:spacing w:line="360" w:lineRule="auto"/>
              <w:jc w:val="center"/>
              <w:rPr>
                <w:rFonts w:ascii="Times New Roman" w:eastAsia="宋体" w:cs="Times New Roman"/>
                <w:color w:val="auto"/>
                <w:sz w:val="21"/>
              </w:rPr>
            </w:pPr>
          </w:p>
        </w:tc>
      </w:tr>
      <w:tr w14:paraId="78BC36D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10D3FBAA">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基底核区</w:t>
            </w:r>
          </w:p>
        </w:tc>
        <w:tc>
          <w:tcPr>
            <w:tcW w:w="1079" w:type="pct"/>
            <w:tcBorders>
              <w:top w:val="nil"/>
              <w:left w:val="nil"/>
              <w:bottom w:val="nil"/>
              <w:right w:val="nil"/>
            </w:tcBorders>
            <w:tcMar>
              <w:top w:w="23" w:type="dxa"/>
              <w:left w:w="23" w:type="dxa"/>
              <w:bottom w:w="23" w:type="dxa"/>
              <w:right w:w="23" w:type="dxa"/>
            </w:tcMar>
            <w:vAlign w:val="center"/>
          </w:tcPr>
          <w:p w14:paraId="2218B0A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32（43.24）</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283E2DCB">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24（40.00）</w:t>
            </w:r>
          </w:p>
        </w:tc>
        <w:tc>
          <w:tcPr>
            <w:tcW w:w="506" w:type="pct"/>
            <w:tcBorders>
              <w:top w:val="nil"/>
              <w:left w:val="nil"/>
              <w:bottom w:val="nil"/>
              <w:right w:val="nil"/>
            </w:tcBorders>
            <w:tcMar>
              <w:top w:w="23" w:type="dxa"/>
              <w:left w:w="23" w:type="dxa"/>
              <w:bottom w:w="23" w:type="dxa"/>
              <w:right w:w="23" w:type="dxa"/>
            </w:tcMar>
            <w:vAlign w:val="center"/>
          </w:tcPr>
          <w:p w14:paraId="7ED9E0A5">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746F9BE3">
            <w:pPr>
              <w:spacing w:line="360" w:lineRule="auto"/>
              <w:jc w:val="center"/>
              <w:rPr>
                <w:rFonts w:ascii="Times New Roman" w:eastAsia="宋体" w:cs="Times New Roman"/>
                <w:color w:val="auto"/>
                <w:sz w:val="21"/>
              </w:rPr>
            </w:pPr>
          </w:p>
        </w:tc>
      </w:tr>
      <w:tr w14:paraId="334185A9">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678FEABB">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其他</w:t>
            </w:r>
          </w:p>
        </w:tc>
        <w:tc>
          <w:tcPr>
            <w:tcW w:w="1079" w:type="pct"/>
            <w:tcBorders>
              <w:top w:val="nil"/>
              <w:left w:val="nil"/>
              <w:bottom w:val="nil"/>
              <w:right w:val="nil"/>
            </w:tcBorders>
            <w:tcMar>
              <w:top w:w="23" w:type="dxa"/>
              <w:left w:w="23" w:type="dxa"/>
              <w:bottom w:w="23" w:type="dxa"/>
              <w:right w:w="23" w:type="dxa"/>
            </w:tcMar>
            <w:vAlign w:val="center"/>
          </w:tcPr>
          <w:p w14:paraId="33F48B8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3（4.05）</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47998F89">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4（6.67）</w:t>
            </w:r>
          </w:p>
        </w:tc>
        <w:tc>
          <w:tcPr>
            <w:tcW w:w="506" w:type="pct"/>
            <w:tcBorders>
              <w:top w:val="nil"/>
              <w:left w:val="nil"/>
              <w:bottom w:val="nil"/>
              <w:right w:val="nil"/>
            </w:tcBorders>
            <w:tcMar>
              <w:top w:w="23" w:type="dxa"/>
              <w:left w:w="23" w:type="dxa"/>
              <w:bottom w:w="23" w:type="dxa"/>
              <w:right w:w="23" w:type="dxa"/>
            </w:tcMar>
            <w:vAlign w:val="center"/>
          </w:tcPr>
          <w:p w14:paraId="7845A44A">
            <w:pPr>
              <w:spacing w:line="360" w:lineRule="auto"/>
              <w:jc w:val="center"/>
              <w:rPr>
                <w:rFonts w:asci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69245E46">
            <w:pPr>
              <w:spacing w:line="360" w:lineRule="auto"/>
              <w:jc w:val="center"/>
              <w:rPr>
                <w:rFonts w:ascii="Times New Roman" w:eastAsia="宋体" w:cs="Times New Roman"/>
                <w:color w:val="auto"/>
                <w:sz w:val="21"/>
              </w:rPr>
            </w:pPr>
          </w:p>
        </w:tc>
      </w:tr>
      <w:tr w14:paraId="3E82FF53">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73B18340">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发病至入院时间[h，</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6D94ACB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5.50（4.70，6.95）</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37C0C102">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6.80（5.70，8.10）</w:t>
            </w:r>
          </w:p>
        </w:tc>
        <w:tc>
          <w:tcPr>
            <w:tcW w:w="506" w:type="pct"/>
            <w:tcBorders>
              <w:top w:val="nil"/>
              <w:left w:val="nil"/>
              <w:bottom w:val="nil"/>
              <w:right w:val="nil"/>
            </w:tcBorders>
            <w:tcMar>
              <w:top w:w="23" w:type="dxa"/>
              <w:left w:w="23" w:type="dxa"/>
              <w:bottom w:w="23" w:type="dxa"/>
              <w:right w:w="23" w:type="dxa"/>
            </w:tcMar>
            <w:vAlign w:val="center"/>
          </w:tcPr>
          <w:p w14:paraId="7BB3704D">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ascii="Times New Roman" w:hAnsi="Times New Roman" w:eastAsia="宋体" w:cs="Times New Roman"/>
                <w:color w:val="auto"/>
                <w:sz w:val="21"/>
              </w:rPr>
              <w:t>3.850</w:t>
            </w:r>
          </w:p>
        </w:tc>
        <w:tc>
          <w:tcPr>
            <w:tcW w:w="427" w:type="pct"/>
            <w:tcBorders>
              <w:top w:val="nil"/>
              <w:left w:val="nil"/>
              <w:bottom w:val="nil"/>
              <w:right w:val="nil"/>
            </w:tcBorders>
            <w:tcMar>
              <w:top w:w="23" w:type="dxa"/>
              <w:left w:w="23" w:type="dxa"/>
              <w:bottom w:w="23" w:type="dxa"/>
              <w:right w:w="23" w:type="dxa"/>
            </w:tcMar>
            <w:vAlign w:val="center"/>
          </w:tcPr>
          <w:p w14:paraId="2DE8293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4AAEEDA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289D7C9">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血肿体积[mL，</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47C2173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13.05（4.15，22.77）</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6B615F93">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25.56（17.16，35.80）</w:t>
            </w:r>
          </w:p>
        </w:tc>
        <w:tc>
          <w:tcPr>
            <w:tcW w:w="506" w:type="pct"/>
            <w:tcBorders>
              <w:top w:val="nil"/>
              <w:left w:val="nil"/>
              <w:bottom w:val="nil"/>
              <w:right w:val="nil"/>
            </w:tcBorders>
            <w:tcMar>
              <w:top w:w="23" w:type="dxa"/>
              <w:left w:w="23" w:type="dxa"/>
              <w:bottom w:w="23" w:type="dxa"/>
              <w:right w:w="23" w:type="dxa"/>
            </w:tcMar>
            <w:vAlign w:val="center"/>
          </w:tcPr>
          <w:p w14:paraId="7C02A32D">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ascii="Times New Roman" w:hAnsi="Times New Roman" w:eastAsia="宋体" w:cs="Times New Roman"/>
                <w:color w:val="auto"/>
                <w:sz w:val="21"/>
              </w:rPr>
              <w:t>5.722</w:t>
            </w:r>
          </w:p>
        </w:tc>
        <w:tc>
          <w:tcPr>
            <w:tcW w:w="427" w:type="pct"/>
            <w:tcBorders>
              <w:top w:val="nil"/>
              <w:left w:val="nil"/>
              <w:bottom w:val="nil"/>
              <w:right w:val="nil"/>
            </w:tcBorders>
            <w:tcMar>
              <w:top w:w="23" w:type="dxa"/>
              <w:left w:w="23" w:type="dxa"/>
              <w:bottom w:w="23" w:type="dxa"/>
              <w:right w:w="23" w:type="dxa"/>
            </w:tcMar>
            <w:vAlign w:val="center"/>
          </w:tcPr>
          <w:p w14:paraId="0C3AE6A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70B20DAD">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C1D4A2A">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手术方式[例（%）]</w:t>
            </w:r>
          </w:p>
        </w:tc>
        <w:tc>
          <w:tcPr>
            <w:tcW w:w="1079" w:type="pct"/>
            <w:tcBorders>
              <w:top w:val="nil"/>
              <w:left w:val="nil"/>
              <w:bottom w:val="nil"/>
              <w:right w:val="nil"/>
            </w:tcBorders>
            <w:tcMar>
              <w:top w:w="23" w:type="dxa"/>
              <w:left w:w="23" w:type="dxa"/>
              <w:bottom w:w="23" w:type="dxa"/>
              <w:right w:w="23" w:type="dxa"/>
            </w:tcMar>
            <w:vAlign w:val="center"/>
          </w:tcPr>
          <w:p w14:paraId="640C9A42">
            <w:pPr>
              <w:pStyle w:val="47"/>
              <w:spacing w:line="360" w:lineRule="auto"/>
              <w:rPr>
                <w:rFonts w:ascii="Times New Roman" w:hAnsi="Times New Roman" w:eastAsia="宋体" w:cs="Times New Roman"/>
                <w:color w:val="auto"/>
                <w:sz w:val="21"/>
              </w:rPr>
            </w:pP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0E4B0EB0">
            <w:pPr>
              <w:pStyle w:val="47"/>
              <w:spacing w:line="360" w:lineRule="auto"/>
              <w:rPr>
                <w:rFonts w:hint="default" w:ascii="Times New Roman" w:hAnsi="Times New Roman" w:eastAsia="宋体" w:cs="Times New Roman"/>
                <w:color w:val="auto"/>
                <w:sz w:val="21"/>
                <w:szCs w:val="18"/>
                <w:lang w:val="en-US" w:eastAsia="zh-CN" w:bidi="ar-SA"/>
              </w:rPr>
            </w:pPr>
          </w:p>
        </w:tc>
        <w:tc>
          <w:tcPr>
            <w:tcW w:w="506" w:type="pct"/>
            <w:tcBorders>
              <w:top w:val="nil"/>
              <w:left w:val="nil"/>
              <w:bottom w:val="nil"/>
              <w:right w:val="nil"/>
            </w:tcBorders>
            <w:tcMar>
              <w:top w:w="23" w:type="dxa"/>
              <w:left w:w="23" w:type="dxa"/>
              <w:bottom w:w="23" w:type="dxa"/>
              <w:right w:w="23" w:type="dxa"/>
            </w:tcMar>
            <w:vAlign w:val="center"/>
          </w:tcPr>
          <w:p w14:paraId="5286B62F">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w:t>
            </w:r>
            <w:r>
              <w:rPr>
                <w:rFonts w:ascii="Times New Roman" w:hAnsi="Times New Roman" w:eastAsia="宋体" w:cs="Times New Roman"/>
                <w:color w:val="auto"/>
                <w:sz w:val="21"/>
              </w:rPr>
              <w:t>2.303</w:t>
            </w:r>
          </w:p>
        </w:tc>
        <w:tc>
          <w:tcPr>
            <w:tcW w:w="427" w:type="pct"/>
            <w:tcBorders>
              <w:top w:val="nil"/>
              <w:left w:val="nil"/>
              <w:bottom w:val="nil"/>
              <w:right w:val="nil"/>
            </w:tcBorders>
            <w:tcMar>
              <w:top w:w="23" w:type="dxa"/>
              <w:left w:w="23" w:type="dxa"/>
              <w:bottom w:w="23" w:type="dxa"/>
              <w:right w:w="23" w:type="dxa"/>
            </w:tcMar>
            <w:vAlign w:val="center"/>
          </w:tcPr>
          <w:p w14:paraId="15080B9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0.316</w:t>
            </w:r>
          </w:p>
        </w:tc>
      </w:tr>
      <w:tr w14:paraId="30DCAF9B">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192646BF">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脑外室引流术</w:t>
            </w:r>
          </w:p>
        </w:tc>
        <w:tc>
          <w:tcPr>
            <w:tcW w:w="1079" w:type="pct"/>
            <w:tcBorders>
              <w:top w:val="nil"/>
              <w:left w:val="nil"/>
              <w:bottom w:val="nil"/>
              <w:right w:val="nil"/>
            </w:tcBorders>
            <w:tcMar>
              <w:top w:w="23" w:type="dxa"/>
              <w:left w:w="23" w:type="dxa"/>
              <w:bottom w:w="23" w:type="dxa"/>
              <w:right w:w="23" w:type="dxa"/>
            </w:tcMar>
            <w:vAlign w:val="center"/>
          </w:tcPr>
          <w:p w14:paraId="5A563F1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26（35.14）</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39BE7E11">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17（28.33）</w:t>
            </w:r>
          </w:p>
        </w:tc>
        <w:tc>
          <w:tcPr>
            <w:tcW w:w="506" w:type="pct"/>
            <w:tcBorders>
              <w:top w:val="nil"/>
              <w:left w:val="nil"/>
              <w:bottom w:val="nil"/>
              <w:right w:val="nil"/>
            </w:tcBorders>
            <w:tcMar>
              <w:top w:w="23" w:type="dxa"/>
              <w:left w:w="23" w:type="dxa"/>
              <w:bottom w:w="23" w:type="dxa"/>
              <w:right w:w="23" w:type="dxa"/>
            </w:tcMar>
            <w:vAlign w:val="center"/>
          </w:tcPr>
          <w:p w14:paraId="5115B659">
            <w:pPr>
              <w:pStyle w:val="47"/>
              <w:spacing w:line="360" w:lineRule="auto"/>
              <w:rPr>
                <w:rFonts w:ascii="Times New Roman" w:hAns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5BF71490">
            <w:pPr>
              <w:pStyle w:val="47"/>
              <w:spacing w:line="360" w:lineRule="auto"/>
              <w:rPr>
                <w:rFonts w:ascii="Times New Roman" w:hAnsi="Times New Roman" w:eastAsia="宋体" w:cs="Times New Roman"/>
                <w:color w:val="auto"/>
                <w:sz w:val="21"/>
              </w:rPr>
            </w:pPr>
          </w:p>
        </w:tc>
      </w:tr>
      <w:tr w14:paraId="7CA2BE42">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0BA478C0">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骨瓣开颅血肿清除术</w:t>
            </w:r>
          </w:p>
        </w:tc>
        <w:tc>
          <w:tcPr>
            <w:tcW w:w="1079" w:type="pct"/>
            <w:tcBorders>
              <w:top w:val="nil"/>
              <w:left w:val="nil"/>
              <w:bottom w:val="nil"/>
              <w:right w:val="nil"/>
            </w:tcBorders>
            <w:tcMar>
              <w:top w:w="23" w:type="dxa"/>
              <w:left w:w="23" w:type="dxa"/>
              <w:bottom w:w="23" w:type="dxa"/>
              <w:right w:w="23" w:type="dxa"/>
            </w:tcMar>
            <w:vAlign w:val="center"/>
          </w:tcPr>
          <w:p w14:paraId="3CF2EBE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36（48.65）</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4E517920">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27（45.00）</w:t>
            </w:r>
          </w:p>
        </w:tc>
        <w:tc>
          <w:tcPr>
            <w:tcW w:w="506" w:type="pct"/>
            <w:tcBorders>
              <w:top w:val="nil"/>
              <w:left w:val="nil"/>
              <w:bottom w:val="nil"/>
              <w:right w:val="nil"/>
            </w:tcBorders>
            <w:tcMar>
              <w:top w:w="23" w:type="dxa"/>
              <w:left w:w="23" w:type="dxa"/>
              <w:bottom w:w="23" w:type="dxa"/>
              <w:right w:w="23" w:type="dxa"/>
            </w:tcMar>
            <w:vAlign w:val="center"/>
          </w:tcPr>
          <w:p w14:paraId="72A7D92B">
            <w:pPr>
              <w:pStyle w:val="47"/>
              <w:spacing w:line="360" w:lineRule="auto"/>
              <w:rPr>
                <w:rFonts w:ascii="Times New Roman" w:hAns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26A0A9E7">
            <w:pPr>
              <w:pStyle w:val="47"/>
              <w:spacing w:line="360" w:lineRule="auto"/>
              <w:rPr>
                <w:rFonts w:ascii="Times New Roman" w:hAnsi="Times New Roman" w:eastAsia="宋体" w:cs="Times New Roman"/>
                <w:color w:val="auto"/>
                <w:sz w:val="21"/>
              </w:rPr>
            </w:pPr>
          </w:p>
        </w:tc>
      </w:tr>
      <w:tr w14:paraId="3618C5BD">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C858FB2">
            <w:pPr>
              <w:pStyle w:val="47"/>
              <w:spacing w:line="360" w:lineRule="auto"/>
              <w:ind w:firstLine="210" w:firstLineChars="100"/>
              <w:jc w:val="left"/>
              <w:rPr>
                <w:rFonts w:ascii="Times New Roman" w:hAnsi="Times New Roman" w:eastAsia="宋体" w:cs="Times New Roman"/>
                <w:color w:val="auto"/>
                <w:sz w:val="21"/>
              </w:rPr>
            </w:pPr>
            <w:r>
              <w:rPr>
                <w:rFonts w:ascii="Times New Roman" w:hAnsi="Times New Roman" w:eastAsia="宋体" w:cs="Times New Roman"/>
                <w:color w:val="auto"/>
                <w:sz w:val="21"/>
              </w:rPr>
              <w:t>小骨窗开颅术</w:t>
            </w:r>
          </w:p>
        </w:tc>
        <w:tc>
          <w:tcPr>
            <w:tcW w:w="1079" w:type="pct"/>
            <w:tcBorders>
              <w:top w:val="nil"/>
              <w:left w:val="nil"/>
              <w:bottom w:val="nil"/>
              <w:right w:val="nil"/>
            </w:tcBorders>
            <w:tcMar>
              <w:top w:w="23" w:type="dxa"/>
              <w:left w:w="23" w:type="dxa"/>
              <w:bottom w:w="23" w:type="dxa"/>
              <w:right w:w="23" w:type="dxa"/>
            </w:tcMar>
            <w:vAlign w:val="center"/>
          </w:tcPr>
          <w:p w14:paraId="3790B2D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12（16.22）</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452AE6D5">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16（26.67）</w:t>
            </w:r>
          </w:p>
        </w:tc>
        <w:tc>
          <w:tcPr>
            <w:tcW w:w="506" w:type="pct"/>
            <w:tcBorders>
              <w:top w:val="nil"/>
              <w:left w:val="nil"/>
              <w:bottom w:val="nil"/>
              <w:right w:val="nil"/>
            </w:tcBorders>
            <w:tcMar>
              <w:top w:w="23" w:type="dxa"/>
              <w:left w:w="23" w:type="dxa"/>
              <w:bottom w:w="23" w:type="dxa"/>
              <w:right w:w="23" w:type="dxa"/>
            </w:tcMar>
            <w:vAlign w:val="center"/>
          </w:tcPr>
          <w:p w14:paraId="225DAD2E">
            <w:pPr>
              <w:pStyle w:val="47"/>
              <w:spacing w:line="360" w:lineRule="auto"/>
              <w:rPr>
                <w:rFonts w:ascii="Times New Roman" w:hAnsi="Times New Roman" w:eastAsia="宋体" w:cs="Times New Roman"/>
                <w:color w:val="auto"/>
                <w:sz w:val="21"/>
              </w:rPr>
            </w:pPr>
          </w:p>
        </w:tc>
        <w:tc>
          <w:tcPr>
            <w:tcW w:w="427" w:type="pct"/>
            <w:tcBorders>
              <w:top w:val="nil"/>
              <w:left w:val="nil"/>
              <w:bottom w:val="nil"/>
              <w:right w:val="nil"/>
            </w:tcBorders>
            <w:tcMar>
              <w:top w:w="23" w:type="dxa"/>
              <w:left w:w="23" w:type="dxa"/>
              <w:bottom w:w="23" w:type="dxa"/>
              <w:right w:w="23" w:type="dxa"/>
            </w:tcMar>
            <w:vAlign w:val="center"/>
          </w:tcPr>
          <w:p w14:paraId="19E660B5">
            <w:pPr>
              <w:pStyle w:val="47"/>
              <w:spacing w:line="360" w:lineRule="auto"/>
              <w:rPr>
                <w:rFonts w:ascii="Times New Roman" w:hAnsi="Times New Roman" w:eastAsia="宋体" w:cs="Times New Roman"/>
                <w:color w:val="auto"/>
                <w:sz w:val="21"/>
              </w:rPr>
            </w:pPr>
          </w:p>
        </w:tc>
      </w:tr>
      <w:tr w14:paraId="55F3A13E">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6888DF28">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术前使用止血剂[例（%）]</w:t>
            </w:r>
          </w:p>
        </w:tc>
        <w:tc>
          <w:tcPr>
            <w:tcW w:w="1079" w:type="pct"/>
            <w:tcBorders>
              <w:top w:val="nil"/>
              <w:left w:val="nil"/>
              <w:bottom w:val="nil"/>
              <w:right w:val="nil"/>
            </w:tcBorders>
            <w:tcMar>
              <w:top w:w="23" w:type="dxa"/>
              <w:left w:w="23" w:type="dxa"/>
              <w:bottom w:w="23" w:type="dxa"/>
              <w:right w:w="23" w:type="dxa"/>
            </w:tcMar>
            <w:vAlign w:val="center"/>
          </w:tcPr>
          <w:p w14:paraId="40F1FC9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21（28.38）</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3F5E5B27">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26（43.33）</w:t>
            </w:r>
          </w:p>
        </w:tc>
        <w:tc>
          <w:tcPr>
            <w:tcW w:w="506" w:type="pct"/>
            <w:tcBorders>
              <w:top w:val="nil"/>
              <w:left w:val="nil"/>
              <w:bottom w:val="nil"/>
              <w:right w:val="nil"/>
            </w:tcBorders>
            <w:tcMar>
              <w:top w:w="23" w:type="dxa"/>
              <w:left w:w="23" w:type="dxa"/>
              <w:bottom w:w="23" w:type="dxa"/>
              <w:right w:w="23" w:type="dxa"/>
            </w:tcMar>
            <w:vAlign w:val="center"/>
          </w:tcPr>
          <w:p w14:paraId="1E7429EA">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szCs w:val="21"/>
              </w:rPr>
              <w:t>χ</w:t>
            </w:r>
            <w:r>
              <w:rPr>
                <w:rFonts w:ascii="Times New Roman" w:hAnsi="Times New Roman" w:eastAsia="宋体" w:cs="Times New Roman"/>
                <w:color w:val="auto"/>
                <w:sz w:val="21"/>
                <w:szCs w:val="21"/>
                <w:vertAlign w:val="superscript"/>
              </w:rPr>
              <w:t>2</w:t>
            </w:r>
            <w:r>
              <w:rPr>
                <w:rFonts w:ascii="Times New Roman" w:hAnsi="Times New Roman" w:eastAsia="宋体" w:cs="Times New Roman"/>
                <w:color w:val="auto"/>
                <w:sz w:val="21"/>
                <w:szCs w:val="21"/>
              </w:rPr>
              <w:t>=</w:t>
            </w:r>
            <w:r>
              <w:rPr>
                <w:rFonts w:ascii="Times New Roman" w:hAnsi="Times New Roman" w:eastAsia="宋体" w:cs="Times New Roman"/>
                <w:color w:val="auto"/>
                <w:sz w:val="21"/>
              </w:rPr>
              <w:t>3.254</w:t>
            </w:r>
          </w:p>
        </w:tc>
        <w:tc>
          <w:tcPr>
            <w:tcW w:w="427" w:type="pct"/>
            <w:tcBorders>
              <w:top w:val="nil"/>
              <w:left w:val="nil"/>
              <w:bottom w:val="nil"/>
              <w:right w:val="nil"/>
            </w:tcBorders>
            <w:tcMar>
              <w:top w:w="23" w:type="dxa"/>
              <w:left w:w="23" w:type="dxa"/>
              <w:bottom w:w="23" w:type="dxa"/>
              <w:right w:w="23" w:type="dxa"/>
            </w:tcMar>
            <w:vAlign w:val="center"/>
          </w:tcPr>
          <w:p w14:paraId="6978AF8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0.071</w:t>
            </w:r>
          </w:p>
        </w:tc>
      </w:tr>
      <w:tr w14:paraId="0EDD694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33DF2157">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入院时GCS[分，</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5E5B1761">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11.00（8.00，14.50）</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1875246B">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6.00（3.50，10.00）</w:t>
            </w:r>
          </w:p>
        </w:tc>
        <w:tc>
          <w:tcPr>
            <w:tcW w:w="506" w:type="pct"/>
            <w:tcBorders>
              <w:top w:val="nil"/>
              <w:left w:val="nil"/>
              <w:bottom w:val="nil"/>
              <w:right w:val="nil"/>
            </w:tcBorders>
            <w:tcMar>
              <w:top w:w="23" w:type="dxa"/>
              <w:left w:w="23" w:type="dxa"/>
              <w:bottom w:w="23" w:type="dxa"/>
              <w:right w:w="23" w:type="dxa"/>
            </w:tcMar>
            <w:vAlign w:val="center"/>
          </w:tcPr>
          <w:p w14:paraId="679CD228">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color w:val="auto"/>
                <w:sz w:val="21"/>
                <w:lang w:val="en-US" w:eastAsia="zh-CN"/>
              </w:rPr>
              <w:t>4.051</w:t>
            </w:r>
          </w:p>
        </w:tc>
        <w:tc>
          <w:tcPr>
            <w:tcW w:w="427" w:type="pct"/>
            <w:tcBorders>
              <w:top w:val="nil"/>
              <w:left w:val="nil"/>
              <w:bottom w:val="nil"/>
              <w:right w:val="nil"/>
            </w:tcBorders>
            <w:tcMar>
              <w:top w:w="23" w:type="dxa"/>
              <w:left w:w="23" w:type="dxa"/>
              <w:bottom w:w="23" w:type="dxa"/>
              <w:right w:w="23" w:type="dxa"/>
            </w:tcMar>
            <w:vAlign w:val="center"/>
          </w:tcPr>
          <w:p w14:paraId="0637344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5A36A0B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5F1C8855">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入院时NIHSS评分[分，</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75B4A87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6.00（3.00，16.00）</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3272920B">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19.00（14.00，27.00）</w:t>
            </w:r>
          </w:p>
        </w:tc>
        <w:tc>
          <w:tcPr>
            <w:tcW w:w="506" w:type="pct"/>
            <w:tcBorders>
              <w:top w:val="nil"/>
              <w:left w:val="nil"/>
              <w:bottom w:val="nil"/>
              <w:right w:val="nil"/>
            </w:tcBorders>
            <w:tcMar>
              <w:top w:w="23" w:type="dxa"/>
              <w:left w:w="23" w:type="dxa"/>
              <w:bottom w:w="23" w:type="dxa"/>
              <w:right w:w="23" w:type="dxa"/>
            </w:tcMar>
            <w:vAlign w:val="center"/>
          </w:tcPr>
          <w:p w14:paraId="2EAF0198">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ascii="Times New Roman" w:hAnsi="Times New Roman" w:eastAsia="宋体" w:cs="Times New Roman"/>
                <w:color w:val="auto"/>
                <w:sz w:val="21"/>
              </w:rPr>
              <w:t>5.828</w:t>
            </w:r>
          </w:p>
        </w:tc>
        <w:tc>
          <w:tcPr>
            <w:tcW w:w="427" w:type="pct"/>
            <w:tcBorders>
              <w:top w:val="nil"/>
              <w:left w:val="nil"/>
              <w:bottom w:val="nil"/>
              <w:right w:val="nil"/>
            </w:tcBorders>
            <w:tcMar>
              <w:top w:w="23" w:type="dxa"/>
              <w:left w:w="23" w:type="dxa"/>
              <w:bottom w:w="23" w:type="dxa"/>
              <w:right w:w="23" w:type="dxa"/>
            </w:tcMar>
            <w:vAlign w:val="center"/>
          </w:tcPr>
          <w:p w14:paraId="0ADCF88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330849B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7CBF7DBD">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白细胞计数（×10</w:t>
            </w:r>
            <w:r>
              <w:rPr>
                <w:rFonts w:ascii="Times New Roman" w:hAnsi="Times New Roman" w:eastAsia="宋体" w:cs="Times New Roman"/>
                <w:color w:val="auto"/>
                <w:sz w:val="21"/>
                <w:vertAlign w:val="superscript"/>
              </w:rPr>
              <w:t>9</w:t>
            </w:r>
            <w:r>
              <w:rPr>
                <w:rFonts w:ascii="Times New Roman" w:hAnsi="Times New Roman" w:eastAsia="宋体" w:cs="Times New Roman"/>
                <w:color w:val="auto"/>
                <w:sz w:val="21"/>
              </w:rPr>
              <w:t xml:space="preserve"> /L，</w:t>
            </w:r>
            <w:r>
              <w:rPr>
                <w:rFonts w:ascii="Times New Roman" w:hAnsi="Times New Roman" w:eastAsia="宋体" w:cs="Times New Roman"/>
                <w:color w:val="auto"/>
                <w:position w:val="-6"/>
                <w:sz w:val="21"/>
                <w:szCs w:val="21"/>
              </w:rPr>
              <w:object>
                <v:shape id="_x0000_i1040"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0" DrawAspect="Content" ObjectID="_1468075740" r:id="rId21">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2FD980C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15.20±4.75</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76819134">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15.73±4.96</w:t>
            </w:r>
          </w:p>
        </w:tc>
        <w:tc>
          <w:tcPr>
            <w:tcW w:w="506" w:type="pct"/>
            <w:tcBorders>
              <w:top w:val="nil"/>
              <w:left w:val="nil"/>
              <w:bottom w:val="nil"/>
              <w:right w:val="nil"/>
            </w:tcBorders>
            <w:tcMar>
              <w:top w:w="23" w:type="dxa"/>
              <w:left w:w="23" w:type="dxa"/>
              <w:bottom w:w="23" w:type="dxa"/>
              <w:right w:w="23" w:type="dxa"/>
            </w:tcMar>
            <w:vAlign w:val="center"/>
          </w:tcPr>
          <w:p w14:paraId="462E958E">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893</w:t>
            </w:r>
          </w:p>
        </w:tc>
        <w:tc>
          <w:tcPr>
            <w:tcW w:w="427" w:type="pct"/>
            <w:tcBorders>
              <w:top w:val="nil"/>
              <w:left w:val="nil"/>
              <w:bottom w:val="nil"/>
              <w:right w:val="nil"/>
            </w:tcBorders>
            <w:tcMar>
              <w:top w:w="23" w:type="dxa"/>
              <w:left w:w="23" w:type="dxa"/>
              <w:bottom w:w="23" w:type="dxa"/>
              <w:right w:w="23" w:type="dxa"/>
            </w:tcMar>
            <w:vAlign w:val="center"/>
          </w:tcPr>
          <w:p w14:paraId="042C5011">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372</w:t>
            </w:r>
          </w:p>
        </w:tc>
      </w:tr>
      <w:tr w14:paraId="62B6335A">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6001758E">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血红蛋白（g/L，</w:t>
            </w:r>
            <w:r>
              <w:rPr>
                <w:rFonts w:ascii="Times New Roman" w:hAnsi="Times New Roman" w:eastAsia="宋体" w:cs="Times New Roman"/>
                <w:color w:val="auto"/>
                <w:position w:val="-6"/>
                <w:sz w:val="21"/>
                <w:szCs w:val="21"/>
              </w:rPr>
              <w:object>
                <v:shape id="_x0000_i1041"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1" DrawAspect="Content" ObjectID="_1468075741" r:id="rId22">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49A981D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139.42±18.00</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5764E487">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139.95±15.49</w:t>
            </w:r>
          </w:p>
        </w:tc>
        <w:tc>
          <w:tcPr>
            <w:tcW w:w="506" w:type="pct"/>
            <w:tcBorders>
              <w:top w:val="nil"/>
              <w:left w:val="nil"/>
              <w:bottom w:val="nil"/>
              <w:right w:val="nil"/>
            </w:tcBorders>
            <w:tcMar>
              <w:top w:w="23" w:type="dxa"/>
              <w:left w:w="23" w:type="dxa"/>
              <w:bottom w:w="23" w:type="dxa"/>
              <w:right w:w="23" w:type="dxa"/>
            </w:tcMar>
            <w:vAlign w:val="center"/>
          </w:tcPr>
          <w:p w14:paraId="06E710E4">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258</w:t>
            </w:r>
          </w:p>
        </w:tc>
        <w:tc>
          <w:tcPr>
            <w:tcW w:w="427" w:type="pct"/>
            <w:tcBorders>
              <w:top w:val="nil"/>
              <w:left w:val="nil"/>
              <w:bottom w:val="nil"/>
              <w:right w:val="nil"/>
            </w:tcBorders>
            <w:tcMar>
              <w:top w:w="23" w:type="dxa"/>
              <w:left w:w="23" w:type="dxa"/>
              <w:bottom w:w="23" w:type="dxa"/>
              <w:right w:w="23" w:type="dxa"/>
            </w:tcMar>
            <w:vAlign w:val="center"/>
          </w:tcPr>
          <w:p w14:paraId="697FB100">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796</w:t>
            </w:r>
          </w:p>
        </w:tc>
      </w:tr>
      <w:tr w14:paraId="59D8D978">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02DCE22F">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血小板计数（×10</w:t>
            </w:r>
            <w:r>
              <w:rPr>
                <w:rFonts w:ascii="Times New Roman" w:hAnsi="Times New Roman" w:eastAsia="宋体" w:cs="Times New Roman"/>
                <w:color w:val="auto"/>
                <w:sz w:val="21"/>
                <w:vertAlign w:val="superscript"/>
              </w:rPr>
              <w:t>9</w:t>
            </w:r>
            <w:r>
              <w:rPr>
                <w:rFonts w:ascii="Times New Roman" w:hAnsi="Times New Roman" w:eastAsia="宋体" w:cs="Times New Roman"/>
                <w:color w:val="auto"/>
                <w:sz w:val="21"/>
              </w:rPr>
              <w:t xml:space="preserve"> /L，</w:t>
            </w:r>
            <w:r>
              <w:rPr>
                <w:rFonts w:ascii="Times New Roman" w:hAnsi="Times New Roman" w:eastAsia="宋体" w:cs="Times New Roman"/>
                <w:color w:val="auto"/>
                <w:position w:val="-6"/>
                <w:sz w:val="21"/>
                <w:szCs w:val="21"/>
              </w:rPr>
              <w:object>
                <v:shape id="_x0000_i1042"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2" DrawAspect="Content" ObjectID="_1468075742" r:id="rId23">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501147A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240.30±36.73</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79AA2650">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237.92±37.15</w:t>
            </w:r>
          </w:p>
        </w:tc>
        <w:tc>
          <w:tcPr>
            <w:tcW w:w="506" w:type="pct"/>
            <w:tcBorders>
              <w:top w:val="nil"/>
              <w:left w:val="nil"/>
              <w:bottom w:val="nil"/>
              <w:right w:val="nil"/>
            </w:tcBorders>
            <w:tcMar>
              <w:top w:w="23" w:type="dxa"/>
              <w:left w:w="23" w:type="dxa"/>
              <w:bottom w:w="23" w:type="dxa"/>
              <w:right w:w="23" w:type="dxa"/>
            </w:tcMar>
            <w:vAlign w:val="center"/>
          </w:tcPr>
          <w:p w14:paraId="41F71ADA">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0.527</w:t>
            </w:r>
          </w:p>
        </w:tc>
        <w:tc>
          <w:tcPr>
            <w:tcW w:w="427" w:type="pct"/>
            <w:tcBorders>
              <w:top w:val="nil"/>
              <w:left w:val="nil"/>
              <w:bottom w:val="nil"/>
              <w:right w:val="nil"/>
            </w:tcBorders>
            <w:tcMar>
              <w:top w:w="23" w:type="dxa"/>
              <w:left w:w="23" w:type="dxa"/>
              <w:bottom w:w="23" w:type="dxa"/>
              <w:right w:w="23" w:type="dxa"/>
            </w:tcMar>
            <w:vAlign w:val="center"/>
          </w:tcPr>
          <w:p w14:paraId="3FCDEBB8">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597</w:t>
            </w:r>
          </w:p>
        </w:tc>
      </w:tr>
      <w:tr w14:paraId="579E88F5">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6F1BB273">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血肌酐（μmol/L，</w:t>
            </w:r>
            <w:r>
              <w:rPr>
                <w:rFonts w:ascii="Times New Roman" w:hAnsi="Times New Roman" w:eastAsia="宋体" w:cs="Times New Roman"/>
                <w:color w:val="auto"/>
                <w:position w:val="-6"/>
                <w:sz w:val="21"/>
                <w:szCs w:val="21"/>
              </w:rPr>
              <w:object>
                <v:shape id="_x0000_i1043"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3" DrawAspect="Content" ObjectID="_1468075743" r:id="rId24">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6AA0936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76.32±10.71</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27DFEDC0">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7</w:t>
            </w:r>
            <w:r>
              <w:rPr>
                <w:rFonts w:hint="eastAsia" w:ascii="Times New Roman" w:hAnsi="Times New Roman" w:eastAsia="宋体" w:cs="Times New Roman"/>
                <w:color w:val="auto"/>
                <w:sz w:val="21"/>
                <w:lang w:val="en-US" w:eastAsia="zh-CN"/>
              </w:rPr>
              <w:t>8</w:t>
            </w:r>
            <w:r>
              <w:rPr>
                <w:rFonts w:ascii="Times New Roman" w:hAnsi="Times New Roman" w:eastAsia="宋体" w:cs="Times New Roman"/>
                <w:color w:val="auto"/>
                <w:sz w:val="21"/>
              </w:rPr>
              <w:t>.07±7.94</w:t>
            </w:r>
          </w:p>
        </w:tc>
        <w:tc>
          <w:tcPr>
            <w:tcW w:w="506" w:type="pct"/>
            <w:tcBorders>
              <w:top w:val="nil"/>
              <w:left w:val="nil"/>
              <w:bottom w:val="nil"/>
              <w:right w:val="nil"/>
            </w:tcBorders>
            <w:tcMar>
              <w:top w:w="23" w:type="dxa"/>
              <w:left w:w="23" w:type="dxa"/>
              <w:bottom w:w="23" w:type="dxa"/>
              <w:right w:w="23" w:type="dxa"/>
            </w:tcMar>
            <w:vAlign w:val="center"/>
          </w:tcPr>
          <w:p w14:paraId="2D43AD56">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=1</w:t>
            </w:r>
            <w:r>
              <w:rPr>
                <w:rFonts w:hint="eastAsia" w:ascii="Times New Roman" w:hAnsi="Times New Roman" w:eastAsia="宋体" w:cs="Times New Roman"/>
                <w:color w:val="auto"/>
                <w:sz w:val="21"/>
                <w:lang w:val="en-US" w:eastAsia="zh-CN"/>
              </w:rPr>
              <w:t>.519</w:t>
            </w:r>
          </w:p>
        </w:tc>
        <w:tc>
          <w:tcPr>
            <w:tcW w:w="427" w:type="pct"/>
            <w:tcBorders>
              <w:top w:val="nil"/>
              <w:left w:val="nil"/>
              <w:bottom w:val="nil"/>
              <w:right w:val="nil"/>
            </w:tcBorders>
            <w:tcMar>
              <w:top w:w="23" w:type="dxa"/>
              <w:left w:w="23" w:type="dxa"/>
              <w:bottom w:w="23" w:type="dxa"/>
              <w:right w:w="23" w:type="dxa"/>
            </w:tcMar>
            <w:vAlign w:val="center"/>
          </w:tcPr>
          <w:p w14:paraId="185D8AB2">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130</w:t>
            </w:r>
          </w:p>
        </w:tc>
      </w:tr>
      <w:tr w14:paraId="111F62D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77F904FA">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血尿素氮（mmol/L，</w:t>
            </w:r>
            <w:r>
              <w:rPr>
                <w:rFonts w:ascii="Times New Roman" w:hAnsi="Times New Roman" w:eastAsia="宋体" w:cs="Times New Roman"/>
                <w:color w:val="auto"/>
                <w:position w:val="-6"/>
                <w:sz w:val="21"/>
                <w:szCs w:val="21"/>
              </w:rPr>
              <w:object>
                <v:shape id="_x0000_i1044"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4" DrawAspect="Content" ObjectID="_1468075744" r:id="rId25">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01BE68C2">
            <w:pPr>
              <w:pStyle w:val="47"/>
              <w:spacing w:line="360" w:lineRule="auto"/>
              <w:rPr>
                <w:rFonts w:hint="eastAsia" w:ascii="Times New Roman" w:hAnsi="Times New Roman" w:eastAsia="宋体" w:cs="Times New Roman"/>
                <w:color w:val="auto"/>
                <w:sz w:val="21"/>
                <w:lang w:eastAsia="zh-CN"/>
              </w:rPr>
            </w:pPr>
            <w:r>
              <w:rPr>
                <w:rFonts w:ascii="Times New Roman" w:hAnsi="Times New Roman" w:eastAsia="宋体" w:cs="Times New Roman"/>
                <w:color w:val="auto"/>
                <w:sz w:val="21"/>
              </w:rPr>
              <w:t>6.08±1.1</w:t>
            </w:r>
            <w:r>
              <w:rPr>
                <w:rFonts w:hint="eastAsia" w:ascii="Times New Roman" w:hAnsi="Times New Roman" w:eastAsia="宋体" w:cs="Times New Roman"/>
                <w:color w:val="auto"/>
                <w:sz w:val="21"/>
                <w:lang w:val="en-US" w:eastAsia="zh-CN"/>
              </w:rPr>
              <w:t>9</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697DCCF1">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6.</w:t>
            </w:r>
            <w:r>
              <w:rPr>
                <w:rFonts w:hint="eastAsia" w:ascii="Times New Roman" w:hAnsi="Times New Roman" w:eastAsia="宋体" w:cs="Times New Roman"/>
                <w:color w:val="auto"/>
                <w:sz w:val="21"/>
                <w:lang w:val="en-US" w:eastAsia="zh-CN"/>
              </w:rPr>
              <w:t>30</w:t>
            </w:r>
            <w:r>
              <w:rPr>
                <w:rFonts w:ascii="Times New Roman" w:hAnsi="Times New Roman" w:eastAsia="宋体" w:cs="Times New Roman"/>
                <w:color w:val="auto"/>
                <w:sz w:val="21"/>
              </w:rPr>
              <w:t>±1.</w:t>
            </w:r>
            <w:r>
              <w:rPr>
                <w:rFonts w:hint="eastAsia" w:ascii="Times New Roman" w:hAnsi="Times New Roman" w:eastAsia="宋体" w:cs="Times New Roman"/>
                <w:color w:val="auto"/>
                <w:sz w:val="21"/>
                <w:lang w:val="en-US" w:eastAsia="zh-CN"/>
              </w:rPr>
              <w:t>26</w:t>
            </w:r>
          </w:p>
        </w:tc>
        <w:tc>
          <w:tcPr>
            <w:tcW w:w="506" w:type="pct"/>
            <w:tcBorders>
              <w:top w:val="nil"/>
              <w:left w:val="nil"/>
              <w:bottom w:val="nil"/>
              <w:right w:val="nil"/>
            </w:tcBorders>
            <w:tcMar>
              <w:top w:w="23" w:type="dxa"/>
              <w:left w:w="23" w:type="dxa"/>
              <w:bottom w:w="23" w:type="dxa"/>
              <w:right w:w="23" w:type="dxa"/>
            </w:tcMar>
            <w:vAlign w:val="center"/>
          </w:tcPr>
          <w:p w14:paraId="00C598AC">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=1.</w:t>
            </w:r>
            <w:r>
              <w:rPr>
                <w:rFonts w:hint="eastAsia" w:ascii="Times New Roman" w:hAnsi="Times New Roman" w:eastAsia="宋体" w:cs="Times New Roman"/>
                <w:color w:val="auto"/>
                <w:sz w:val="21"/>
                <w:lang w:val="en-US" w:eastAsia="zh-CN"/>
              </w:rPr>
              <w:t>469</w:t>
            </w:r>
          </w:p>
        </w:tc>
        <w:tc>
          <w:tcPr>
            <w:tcW w:w="427" w:type="pct"/>
            <w:tcBorders>
              <w:top w:val="nil"/>
              <w:left w:val="nil"/>
              <w:bottom w:val="nil"/>
              <w:right w:val="nil"/>
            </w:tcBorders>
            <w:tcMar>
              <w:top w:w="23" w:type="dxa"/>
              <w:left w:w="23" w:type="dxa"/>
              <w:bottom w:w="23" w:type="dxa"/>
              <w:right w:w="23" w:type="dxa"/>
            </w:tcMar>
            <w:vAlign w:val="center"/>
          </w:tcPr>
          <w:p w14:paraId="377EA8D2">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143</w:t>
            </w:r>
          </w:p>
        </w:tc>
      </w:tr>
      <w:tr w14:paraId="51DFE28D">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7C1EAD2F">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C反应蛋白（mg/L，</w:t>
            </w:r>
            <w:r>
              <w:rPr>
                <w:rFonts w:ascii="Times New Roman" w:hAnsi="Times New Roman" w:eastAsia="宋体" w:cs="Times New Roman"/>
                <w:color w:val="auto"/>
                <w:position w:val="-6"/>
                <w:sz w:val="21"/>
                <w:szCs w:val="21"/>
              </w:rPr>
              <w:object>
                <v:shape id="_x0000_i1045"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5" DrawAspect="Content" ObjectID="_1468075745" r:id="rId26">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1903DBC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48.9</w:t>
            </w:r>
            <w:r>
              <w:rPr>
                <w:rFonts w:hint="eastAsia" w:ascii="Times New Roman" w:hAnsi="Times New Roman" w:eastAsia="宋体" w:cs="Times New Roman"/>
                <w:color w:val="auto"/>
                <w:sz w:val="21"/>
                <w:lang w:val="en-US" w:eastAsia="zh-CN"/>
              </w:rPr>
              <w:t>9</w:t>
            </w:r>
            <w:r>
              <w:rPr>
                <w:rFonts w:ascii="Times New Roman" w:hAnsi="Times New Roman" w:eastAsia="宋体" w:cs="Times New Roman"/>
                <w:color w:val="auto"/>
                <w:sz w:val="21"/>
              </w:rPr>
              <w:t>±10.07</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7BFE065F">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5</w:t>
            </w:r>
            <w:r>
              <w:rPr>
                <w:rFonts w:hint="eastAsia" w:ascii="Times New Roman" w:hAnsi="Times New Roman" w:eastAsia="宋体" w:cs="Times New Roman"/>
                <w:color w:val="auto"/>
                <w:sz w:val="21"/>
                <w:lang w:val="en-US" w:eastAsia="zh-CN"/>
              </w:rPr>
              <w:t>1</w:t>
            </w:r>
            <w:r>
              <w:rPr>
                <w:rFonts w:ascii="Times New Roman" w:hAnsi="Times New Roman" w:eastAsia="宋体" w:cs="Times New Roman"/>
                <w:color w:val="auto"/>
                <w:sz w:val="21"/>
              </w:rPr>
              <w:t>.20±</w:t>
            </w:r>
            <w:r>
              <w:rPr>
                <w:rFonts w:hint="eastAsia" w:ascii="Times New Roman" w:hAnsi="Times New Roman" w:eastAsia="宋体" w:cs="Times New Roman"/>
                <w:color w:val="auto"/>
                <w:sz w:val="21"/>
                <w:lang w:val="en-US" w:eastAsia="zh-CN"/>
              </w:rPr>
              <w:t>11.83</w:t>
            </w:r>
          </w:p>
        </w:tc>
        <w:tc>
          <w:tcPr>
            <w:tcW w:w="506" w:type="pct"/>
            <w:tcBorders>
              <w:top w:val="nil"/>
              <w:left w:val="nil"/>
              <w:bottom w:val="nil"/>
              <w:right w:val="nil"/>
            </w:tcBorders>
            <w:tcMar>
              <w:top w:w="23" w:type="dxa"/>
              <w:left w:w="23" w:type="dxa"/>
              <w:bottom w:w="23" w:type="dxa"/>
              <w:right w:w="23" w:type="dxa"/>
            </w:tcMar>
            <w:vAlign w:val="center"/>
          </w:tcPr>
          <w:p w14:paraId="441335AA">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1.647</w:t>
            </w:r>
          </w:p>
        </w:tc>
        <w:tc>
          <w:tcPr>
            <w:tcW w:w="427" w:type="pct"/>
            <w:tcBorders>
              <w:top w:val="nil"/>
              <w:left w:val="nil"/>
              <w:bottom w:val="nil"/>
              <w:right w:val="nil"/>
            </w:tcBorders>
            <w:tcMar>
              <w:top w:w="23" w:type="dxa"/>
              <w:left w:w="23" w:type="dxa"/>
              <w:bottom w:w="23" w:type="dxa"/>
              <w:right w:w="23" w:type="dxa"/>
            </w:tcMar>
            <w:vAlign w:val="center"/>
          </w:tcPr>
          <w:p w14:paraId="2FFE8277">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color w:val="auto"/>
                <w:sz w:val="21"/>
              </w:rPr>
              <w:t>0.</w:t>
            </w:r>
            <w:r>
              <w:rPr>
                <w:rFonts w:hint="eastAsia" w:ascii="Times New Roman" w:hAnsi="Times New Roman" w:eastAsia="宋体" w:cs="Times New Roman"/>
                <w:color w:val="auto"/>
                <w:sz w:val="21"/>
                <w:lang w:val="en-US" w:eastAsia="zh-CN"/>
              </w:rPr>
              <w:t>101</w:t>
            </w:r>
          </w:p>
        </w:tc>
      </w:tr>
      <w:tr w14:paraId="325C1D91">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15031477">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D-D[mg/L，</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3089975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0.61（0.47，0.79）</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2563D711">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0.78（0.58，1.02）</w:t>
            </w:r>
          </w:p>
        </w:tc>
        <w:tc>
          <w:tcPr>
            <w:tcW w:w="506" w:type="pct"/>
            <w:tcBorders>
              <w:top w:val="nil"/>
              <w:left w:val="nil"/>
              <w:bottom w:val="nil"/>
              <w:right w:val="nil"/>
            </w:tcBorders>
            <w:tcMar>
              <w:top w:w="23" w:type="dxa"/>
              <w:left w:w="23" w:type="dxa"/>
              <w:bottom w:w="23" w:type="dxa"/>
              <w:right w:w="23" w:type="dxa"/>
            </w:tcMar>
            <w:vAlign w:val="center"/>
          </w:tcPr>
          <w:p w14:paraId="297EA34B">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ascii="Times New Roman" w:hAnsi="Times New Roman" w:eastAsia="宋体" w:cs="Times New Roman"/>
                <w:color w:val="auto"/>
                <w:sz w:val="21"/>
              </w:rPr>
              <w:t>3.785</w:t>
            </w:r>
          </w:p>
        </w:tc>
        <w:tc>
          <w:tcPr>
            <w:tcW w:w="427" w:type="pct"/>
            <w:tcBorders>
              <w:top w:val="nil"/>
              <w:left w:val="nil"/>
              <w:bottom w:val="nil"/>
              <w:right w:val="nil"/>
            </w:tcBorders>
            <w:tcMar>
              <w:top w:w="23" w:type="dxa"/>
              <w:left w:w="23" w:type="dxa"/>
              <w:bottom w:w="23" w:type="dxa"/>
              <w:right w:w="23" w:type="dxa"/>
            </w:tcMar>
            <w:vAlign w:val="center"/>
          </w:tcPr>
          <w:p w14:paraId="7A4B35C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412C0A03">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12E715BA">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FIB（g/L，</w:t>
            </w:r>
            <w:r>
              <w:rPr>
                <w:rFonts w:ascii="Times New Roman" w:hAnsi="Times New Roman" w:eastAsia="宋体" w:cs="Times New Roman"/>
                <w:color w:val="auto"/>
                <w:position w:val="-6"/>
                <w:sz w:val="21"/>
                <w:szCs w:val="21"/>
              </w:rPr>
              <w:object>
                <v:shape id="_x0000_i1046"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6" DrawAspect="Content" ObjectID="_1468075746" r:id="rId27">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1AF628E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3.7</w:t>
            </w:r>
            <w:r>
              <w:rPr>
                <w:rFonts w:hint="eastAsia" w:ascii="Times New Roman" w:hAnsi="Times New Roman" w:eastAsia="宋体" w:cs="Times New Roman"/>
                <w:color w:val="auto"/>
                <w:sz w:val="21"/>
                <w:lang w:val="en-US" w:eastAsia="zh-CN"/>
              </w:rPr>
              <w:t>0</w:t>
            </w:r>
            <w:r>
              <w:rPr>
                <w:rFonts w:ascii="Times New Roman" w:hAnsi="Times New Roman" w:eastAsia="宋体" w:cs="Times New Roman"/>
                <w:color w:val="auto"/>
                <w:sz w:val="21"/>
              </w:rPr>
              <w:t>±0.41</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225CEAB4">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4.</w:t>
            </w:r>
            <w:r>
              <w:rPr>
                <w:rFonts w:hint="eastAsia" w:ascii="Times New Roman" w:hAnsi="Times New Roman" w:eastAsia="宋体" w:cs="Times New Roman"/>
                <w:color w:val="auto"/>
                <w:sz w:val="21"/>
                <w:lang w:val="en-US" w:eastAsia="zh-CN"/>
              </w:rPr>
              <w:t>28</w:t>
            </w:r>
            <w:r>
              <w:rPr>
                <w:rFonts w:ascii="Times New Roman" w:hAnsi="Times New Roman" w:eastAsia="宋体" w:cs="Times New Roman"/>
                <w:color w:val="auto"/>
                <w:sz w:val="21"/>
              </w:rPr>
              <w:t>±0.56</w:t>
            </w:r>
          </w:p>
        </w:tc>
        <w:tc>
          <w:tcPr>
            <w:tcW w:w="506" w:type="pct"/>
            <w:tcBorders>
              <w:top w:val="nil"/>
              <w:left w:val="nil"/>
              <w:bottom w:val="nil"/>
              <w:right w:val="nil"/>
            </w:tcBorders>
            <w:tcMar>
              <w:top w:w="23" w:type="dxa"/>
              <w:left w:w="23" w:type="dxa"/>
              <w:bottom w:w="23" w:type="dxa"/>
              <w:right w:w="23" w:type="dxa"/>
            </w:tcMar>
            <w:vAlign w:val="center"/>
          </w:tcPr>
          <w:p w14:paraId="708B5A17">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9.674</w:t>
            </w:r>
          </w:p>
        </w:tc>
        <w:tc>
          <w:tcPr>
            <w:tcW w:w="427" w:type="pct"/>
            <w:tcBorders>
              <w:top w:val="nil"/>
              <w:left w:val="nil"/>
              <w:bottom w:val="nil"/>
              <w:right w:val="nil"/>
            </w:tcBorders>
            <w:tcMar>
              <w:top w:w="23" w:type="dxa"/>
              <w:left w:w="23" w:type="dxa"/>
              <w:bottom w:w="23" w:type="dxa"/>
              <w:right w:w="23" w:type="dxa"/>
            </w:tcMar>
            <w:vAlign w:val="center"/>
          </w:tcPr>
          <w:p w14:paraId="2D0C051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4F145A96">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5188F9F1">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PT（s，</w:t>
            </w:r>
            <w:r>
              <w:rPr>
                <w:rFonts w:ascii="Times New Roman" w:hAnsi="Times New Roman" w:eastAsia="宋体" w:cs="Times New Roman"/>
                <w:color w:val="auto"/>
                <w:position w:val="-6"/>
                <w:sz w:val="21"/>
                <w:szCs w:val="21"/>
              </w:rPr>
              <w:object>
                <v:shape id="_x0000_i1047"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7" DrawAspect="Content" ObjectID="_1468075747" r:id="rId28">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2EBEA9AB">
            <w:pPr>
              <w:pStyle w:val="47"/>
              <w:spacing w:line="360" w:lineRule="auto"/>
              <w:rPr>
                <w:rFonts w:ascii="Times New Roman" w:hAnsi="Times New Roman" w:eastAsia="宋体" w:cs="Times New Roman"/>
                <w:color w:val="auto"/>
                <w:sz w:val="21"/>
              </w:rPr>
            </w:pPr>
            <w:r>
              <w:rPr>
                <w:rFonts w:hint="eastAsia" w:ascii="Times New Roman" w:hAnsi="Times New Roman" w:eastAsia="宋体" w:cs="Times New Roman"/>
                <w:color w:val="auto"/>
                <w:sz w:val="21"/>
                <w:lang w:val="en-US" w:eastAsia="zh-CN"/>
              </w:rPr>
              <w:t>13.81</w:t>
            </w:r>
            <w:r>
              <w:rPr>
                <w:rFonts w:ascii="Times New Roman" w:hAnsi="Times New Roman" w:eastAsia="宋体" w:cs="Times New Roman"/>
                <w:color w:val="auto"/>
                <w:sz w:val="21"/>
              </w:rPr>
              <w:t>±2.84</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6698E672">
            <w:pPr>
              <w:pStyle w:val="47"/>
              <w:spacing w:line="360" w:lineRule="auto"/>
              <w:rPr>
                <w:rFonts w:hint="default" w:ascii="Times New Roman" w:hAnsi="Times New Roman" w:eastAsia="宋体" w:cs="Times New Roman"/>
                <w:color w:val="auto"/>
                <w:sz w:val="21"/>
                <w:szCs w:val="18"/>
                <w:lang w:val="en-US" w:eastAsia="zh-CN" w:bidi="ar-SA"/>
              </w:rPr>
            </w:pPr>
            <w:r>
              <w:rPr>
                <w:rFonts w:hint="eastAsia" w:ascii="Times New Roman" w:hAnsi="Times New Roman" w:eastAsia="宋体" w:cs="Times New Roman"/>
                <w:color w:val="auto"/>
                <w:sz w:val="21"/>
                <w:lang w:val="en-US" w:eastAsia="zh-CN"/>
              </w:rPr>
              <w:t>17.94</w:t>
            </w:r>
            <w:r>
              <w:rPr>
                <w:rFonts w:ascii="Times New Roman" w:hAnsi="Times New Roman" w:eastAsia="宋体" w:cs="Times New Roman"/>
                <w:color w:val="auto"/>
                <w:sz w:val="21"/>
              </w:rPr>
              <w:t>±3.58</w:t>
            </w:r>
          </w:p>
        </w:tc>
        <w:tc>
          <w:tcPr>
            <w:tcW w:w="506" w:type="pct"/>
            <w:tcBorders>
              <w:top w:val="nil"/>
              <w:left w:val="nil"/>
              <w:bottom w:val="nil"/>
              <w:right w:val="nil"/>
            </w:tcBorders>
            <w:tcMar>
              <w:top w:w="23" w:type="dxa"/>
              <w:left w:w="23" w:type="dxa"/>
              <w:bottom w:w="23" w:type="dxa"/>
              <w:right w:w="23" w:type="dxa"/>
            </w:tcMar>
            <w:vAlign w:val="center"/>
          </w:tcPr>
          <w:p w14:paraId="637FE40E">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10.462</w:t>
            </w:r>
          </w:p>
        </w:tc>
        <w:tc>
          <w:tcPr>
            <w:tcW w:w="427" w:type="pct"/>
            <w:tcBorders>
              <w:top w:val="nil"/>
              <w:left w:val="nil"/>
              <w:bottom w:val="nil"/>
              <w:right w:val="nil"/>
            </w:tcBorders>
            <w:tcMar>
              <w:top w:w="23" w:type="dxa"/>
              <w:left w:w="23" w:type="dxa"/>
              <w:bottom w:w="23" w:type="dxa"/>
              <w:right w:w="23" w:type="dxa"/>
            </w:tcMar>
            <w:vAlign w:val="center"/>
          </w:tcPr>
          <w:p w14:paraId="3C5CCC3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08556B2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5AE41431">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TT[s，</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1ED7CC6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24.00（22.40，25.65）</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4485A761">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25.60（23.30，28.55）</w:t>
            </w:r>
          </w:p>
        </w:tc>
        <w:tc>
          <w:tcPr>
            <w:tcW w:w="506" w:type="pct"/>
            <w:tcBorders>
              <w:top w:val="nil"/>
              <w:left w:val="nil"/>
              <w:bottom w:val="nil"/>
              <w:right w:val="nil"/>
            </w:tcBorders>
            <w:tcMar>
              <w:top w:w="23" w:type="dxa"/>
              <w:left w:w="23" w:type="dxa"/>
              <w:bottom w:w="23" w:type="dxa"/>
              <w:right w:w="23" w:type="dxa"/>
            </w:tcMar>
            <w:vAlign w:val="center"/>
          </w:tcPr>
          <w:p w14:paraId="57C8B8EC">
            <w:pPr>
              <w:pStyle w:val="47"/>
              <w:spacing w:line="360" w:lineRule="auto"/>
              <w:rPr>
                <w:rFonts w:ascii="Times New Roman" w:hAnsi="Times New Roman" w:eastAsia="宋体" w:cs="Times New Roman"/>
                <w:color w:val="auto"/>
                <w:sz w:val="21"/>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ascii="Times New Roman" w:hAnsi="Times New Roman" w:eastAsia="宋体" w:cs="Times New Roman"/>
                <w:color w:val="auto"/>
                <w:sz w:val="21"/>
              </w:rPr>
              <w:t>3.615</w:t>
            </w:r>
          </w:p>
        </w:tc>
        <w:tc>
          <w:tcPr>
            <w:tcW w:w="427" w:type="pct"/>
            <w:tcBorders>
              <w:top w:val="nil"/>
              <w:left w:val="nil"/>
              <w:bottom w:val="nil"/>
              <w:right w:val="nil"/>
            </w:tcBorders>
            <w:tcMar>
              <w:top w:w="23" w:type="dxa"/>
              <w:left w:w="23" w:type="dxa"/>
              <w:bottom w:w="23" w:type="dxa"/>
              <w:right w:w="23" w:type="dxa"/>
            </w:tcMar>
            <w:vAlign w:val="center"/>
          </w:tcPr>
          <w:p w14:paraId="4A6B1019">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60748BED">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4FFD3387">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APTT（s，</w:t>
            </w:r>
            <w:r>
              <w:rPr>
                <w:rFonts w:ascii="Times New Roman" w:hAnsi="Times New Roman" w:eastAsia="宋体" w:cs="Times New Roman"/>
                <w:color w:val="auto"/>
                <w:position w:val="-6"/>
                <w:sz w:val="21"/>
                <w:szCs w:val="21"/>
              </w:rPr>
              <w:object>
                <v:shape id="_x0000_i1048"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8" DrawAspect="Content" ObjectID="_1468075748" r:id="rId29">
                  <o:LockedField>false</o:LockedField>
                </o:OLEObject>
              </w:objec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27460E4B">
            <w:pPr>
              <w:pStyle w:val="47"/>
              <w:spacing w:line="360" w:lineRule="auto"/>
              <w:rPr>
                <w:rFonts w:ascii="Times New Roman" w:hAnsi="Times New Roman" w:eastAsia="宋体" w:cs="Times New Roman"/>
                <w:color w:val="auto"/>
                <w:sz w:val="21"/>
                <w:highlight w:val="yellow"/>
              </w:rPr>
            </w:pPr>
            <w:r>
              <w:rPr>
                <w:rFonts w:ascii="Times New Roman" w:hAnsi="Times New Roman" w:eastAsia="宋体" w:cs="Times New Roman"/>
                <w:color w:val="auto"/>
                <w:sz w:val="21"/>
                <w:highlight w:val="none"/>
              </w:rPr>
              <w:t>33.23±5.51</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47E1AC03">
            <w:pPr>
              <w:pStyle w:val="47"/>
              <w:spacing w:line="360" w:lineRule="auto"/>
              <w:rPr>
                <w:rFonts w:hint="default" w:ascii="Times New Roman" w:hAnsi="Times New Roman" w:eastAsia="宋体" w:cs="Times New Roman"/>
                <w:color w:val="auto"/>
                <w:sz w:val="21"/>
                <w:szCs w:val="18"/>
                <w:highlight w:val="yellow"/>
                <w:lang w:val="en-US" w:eastAsia="zh-CN" w:bidi="ar-SA"/>
              </w:rPr>
            </w:pPr>
            <w:r>
              <w:rPr>
                <w:rFonts w:hint="eastAsia" w:ascii="Times New Roman" w:hAnsi="Times New Roman" w:eastAsia="宋体" w:cs="Times New Roman"/>
                <w:color w:val="auto"/>
                <w:sz w:val="21"/>
                <w:highlight w:val="none"/>
                <w:lang w:val="en-US" w:eastAsia="zh-CN"/>
              </w:rPr>
              <w:t>38.18</w:t>
            </w:r>
            <w:r>
              <w:rPr>
                <w:rFonts w:ascii="Times New Roman" w:hAnsi="Times New Roman" w:eastAsia="宋体" w:cs="Times New Roman"/>
                <w:color w:val="auto"/>
                <w:sz w:val="21"/>
                <w:highlight w:val="none"/>
              </w:rPr>
              <w:t>±4.55</w:t>
            </w:r>
          </w:p>
        </w:tc>
        <w:tc>
          <w:tcPr>
            <w:tcW w:w="506" w:type="pct"/>
            <w:tcBorders>
              <w:top w:val="nil"/>
              <w:left w:val="nil"/>
              <w:bottom w:val="nil"/>
              <w:right w:val="nil"/>
            </w:tcBorders>
            <w:tcMar>
              <w:top w:w="23" w:type="dxa"/>
              <w:left w:w="23" w:type="dxa"/>
              <w:bottom w:w="23" w:type="dxa"/>
              <w:right w:w="23" w:type="dxa"/>
            </w:tcMar>
            <w:vAlign w:val="center"/>
          </w:tcPr>
          <w:p w14:paraId="459F2871">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8.019</w:t>
            </w:r>
          </w:p>
        </w:tc>
        <w:tc>
          <w:tcPr>
            <w:tcW w:w="427" w:type="pct"/>
            <w:tcBorders>
              <w:top w:val="nil"/>
              <w:left w:val="nil"/>
              <w:bottom w:val="nil"/>
              <w:right w:val="nil"/>
            </w:tcBorders>
            <w:tcMar>
              <w:top w:w="23" w:type="dxa"/>
              <w:left w:w="23" w:type="dxa"/>
              <w:bottom w:w="23" w:type="dxa"/>
              <w:right w:w="23" w:type="dxa"/>
            </w:tcMar>
            <w:vAlign w:val="center"/>
          </w:tcPr>
          <w:p w14:paraId="05DF3EB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78A35812">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907" w:type="pct"/>
            <w:tcBorders>
              <w:top w:val="nil"/>
              <w:left w:val="nil"/>
              <w:bottom w:val="nil"/>
              <w:right w:val="nil"/>
            </w:tcBorders>
            <w:tcMar>
              <w:top w:w="23" w:type="dxa"/>
              <w:left w:w="23" w:type="dxa"/>
              <w:bottom w:w="23" w:type="dxa"/>
              <w:right w:w="23" w:type="dxa"/>
            </w:tcMar>
            <w:vAlign w:val="center"/>
          </w:tcPr>
          <w:p w14:paraId="7228E075">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VE-cadherin[mg/L，</w:t>
            </w:r>
            <w:r>
              <w:rPr>
                <w:rFonts w:ascii="Times New Roman" w:hAnsi="Times New Roman" w:eastAsia="宋体" w:cs="Times New Roman"/>
                <w:i/>
                <w:color w:val="auto"/>
                <w:sz w:val="21"/>
              </w:rPr>
              <w:t>M</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1</w:t>
            </w:r>
            <w:r>
              <w:rPr>
                <w:rFonts w:ascii="Times New Roman" w:hAnsi="Times New Roman" w:eastAsia="宋体" w:cs="Times New Roman"/>
                <w:color w:val="auto"/>
                <w:sz w:val="21"/>
              </w:rPr>
              <w:t>，</w:t>
            </w:r>
            <w:r>
              <w:rPr>
                <w:rFonts w:ascii="Times New Roman" w:hAnsi="Times New Roman" w:eastAsia="宋体" w:cs="Times New Roman"/>
                <w:i/>
                <w:color w:val="auto"/>
                <w:sz w:val="21"/>
              </w:rPr>
              <w:t>Q</w:t>
            </w:r>
            <w:r>
              <w:rPr>
                <w:rFonts w:ascii="Times New Roman" w:hAnsi="Times New Roman" w:eastAsia="宋体" w:cs="Times New Roman"/>
                <w:iCs/>
                <w:color w:val="auto"/>
                <w:sz w:val="21"/>
                <w:vertAlign w:val="subscript"/>
              </w:rPr>
              <w:t>3</w:t>
            </w:r>
            <w:r>
              <w:rPr>
                <w:rFonts w:ascii="Times New Roman" w:hAnsi="Times New Roman" w:eastAsia="宋体" w:cs="Times New Roman"/>
                <w:color w:val="auto"/>
                <w:sz w:val="21"/>
              </w:rPr>
              <w:t>）]</w:t>
            </w:r>
          </w:p>
        </w:tc>
        <w:tc>
          <w:tcPr>
            <w:tcW w:w="1079" w:type="pct"/>
            <w:tcBorders>
              <w:top w:val="nil"/>
              <w:left w:val="nil"/>
              <w:bottom w:val="nil"/>
              <w:right w:val="nil"/>
            </w:tcBorders>
            <w:tcMar>
              <w:top w:w="23" w:type="dxa"/>
              <w:left w:w="23" w:type="dxa"/>
              <w:bottom w:w="23" w:type="dxa"/>
              <w:right w:w="23" w:type="dxa"/>
            </w:tcMar>
            <w:vAlign w:val="center"/>
          </w:tcPr>
          <w:p w14:paraId="6904A63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4.87（3.95，5.94）</w:t>
            </w:r>
          </w:p>
        </w:tc>
        <w:tc>
          <w:tcPr>
            <w:tcW w:w="1078" w:type="pct"/>
            <w:tcBorders>
              <w:top w:val="nil"/>
              <w:left w:val="nil"/>
              <w:bottom w:val="nil"/>
              <w:right w:val="nil"/>
            </w:tcBorders>
            <w:shd w:val="clear" w:color="auto" w:fill="auto"/>
            <w:tcMar>
              <w:top w:w="23" w:type="dxa"/>
              <w:left w:w="23" w:type="dxa"/>
              <w:bottom w:w="23" w:type="dxa"/>
              <w:right w:w="23" w:type="dxa"/>
            </w:tcMar>
            <w:vAlign w:val="center"/>
          </w:tcPr>
          <w:p w14:paraId="551E1911">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6.98（5.75，7.93）</w:t>
            </w:r>
          </w:p>
        </w:tc>
        <w:tc>
          <w:tcPr>
            <w:tcW w:w="506" w:type="pct"/>
            <w:tcBorders>
              <w:top w:val="nil"/>
              <w:left w:val="nil"/>
              <w:bottom w:val="nil"/>
              <w:right w:val="nil"/>
            </w:tcBorders>
            <w:tcMar>
              <w:top w:w="23" w:type="dxa"/>
              <w:left w:w="23" w:type="dxa"/>
              <w:bottom w:w="23" w:type="dxa"/>
              <w:right w:w="23" w:type="dxa"/>
            </w:tcMar>
            <w:vAlign w:val="center"/>
          </w:tcPr>
          <w:p w14:paraId="726AA5B0">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color w:val="auto"/>
                <w:sz w:val="21"/>
              </w:rPr>
              <w:t>U</w:t>
            </w:r>
            <w:r>
              <w:rPr>
                <w:rFonts w:ascii="Times New Roman" w:hAnsi="Times New Roman" w:eastAsia="宋体" w:cs="Times New Roman"/>
                <w:iCs/>
                <w:color w:val="auto"/>
                <w:sz w:val="21"/>
              </w:rPr>
              <w:t>=</w:t>
            </w:r>
            <w:r>
              <w:rPr>
                <w:rFonts w:hint="eastAsia" w:ascii="Times New Roman" w:hAnsi="Times New Roman" w:eastAsia="宋体" w:cs="Times New Roman"/>
                <w:color w:val="auto"/>
                <w:sz w:val="21"/>
                <w:lang w:val="en-US" w:eastAsia="zh-CN"/>
              </w:rPr>
              <w:t>4.604</w:t>
            </w:r>
          </w:p>
        </w:tc>
        <w:tc>
          <w:tcPr>
            <w:tcW w:w="427" w:type="pct"/>
            <w:tcBorders>
              <w:top w:val="nil"/>
              <w:left w:val="nil"/>
              <w:bottom w:val="nil"/>
              <w:right w:val="nil"/>
            </w:tcBorders>
            <w:tcMar>
              <w:top w:w="23" w:type="dxa"/>
              <w:left w:w="23" w:type="dxa"/>
              <w:bottom w:w="23" w:type="dxa"/>
              <w:right w:w="23" w:type="dxa"/>
            </w:tcMar>
            <w:vAlign w:val="center"/>
          </w:tcPr>
          <w:p w14:paraId="006332D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r w14:paraId="5D195393">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907" w:type="pct"/>
            <w:tcBorders>
              <w:top w:val="nil"/>
              <w:left w:val="nil"/>
              <w:bottom w:val="single" w:color="000000" w:sz="6" w:space="0"/>
              <w:right w:val="nil"/>
            </w:tcBorders>
            <w:tcMar>
              <w:top w:w="23" w:type="dxa"/>
              <w:left w:w="23" w:type="dxa"/>
              <w:bottom w:w="23" w:type="dxa"/>
              <w:right w:w="23" w:type="dxa"/>
            </w:tcMar>
            <w:vAlign w:val="center"/>
          </w:tcPr>
          <w:p w14:paraId="2D769A2F">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S1P（ng/mL，</w:t>
            </w:r>
            <w:r>
              <w:rPr>
                <w:rFonts w:ascii="Times New Roman" w:hAnsi="Times New Roman" w:eastAsia="宋体" w:cs="Times New Roman"/>
                <w:color w:val="auto"/>
                <w:position w:val="-6"/>
                <w:sz w:val="21"/>
                <w:szCs w:val="21"/>
              </w:rPr>
              <w:object>
                <v:shape id="_x0000_i1049" o:spt="75" type="#_x0000_t75" style="height:13pt;width:26.5pt;" o:ole="t" filled="f" o:preferrelative="t" stroked="f" coordsize="21600,21600">
                  <v:path/>
                  <v:fill on="f" focussize="0,0"/>
                  <v:stroke on="f" joinstyle="miter"/>
                  <v:imagedata r:id="rId5" o:title=""/>
                  <o:lock v:ext="edit" aspectratio="t"/>
                  <w10:wrap type="none"/>
                  <w10:anchorlock/>
                </v:shape>
                <o:OLEObject Type="Embed" ProgID="Equation.3" ShapeID="_x0000_i1049" DrawAspect="Content" ObjectID="_1468075749" r:id="rId30">
                  <o:LockedField>false</o:LockedField>
                </o:OLEObject>
              </w:object>
            </w:r>
            <w:r>
              <w:rPr>
                <w:rFonts w:ascii="Times New Roman" w:hAnsi="Times New Roman" w:eastAsia="宋体" w:cs="Times New Roman"/>
                <w:color w:val="auto"/>
                <w:sz w:val="21"/>
              </w:rPr>
              <w:t>）</w:t>
            </w:r>
          </w:p>
        </w:tc>
        <w:tc>
          <w:tcPr>
            <w:tcW w:w="1079" w:type="pct"/>
            <w:tcBorders>
              <w:top w:val="nil"/>
              <w:left w:val="nil"/>
              <w:bottom w:val="single" w:color="000000" w:sz="6" w:space="0"/>
              <w:right w:val="nil"/>
            </w:tcBorders>
            <w:tcMar>
              <w:top w:w="23" w:type="dxa"/>
              <w:left w:w="23" w:type="dxa"/>
              <w:bottom w:w="23" w:type="dxa"/>
              <w:right w:w="23" w:type="dxa"/>
            </w:tcMar>
            <w:vAlign w:val="center"/>
          </w:tcPr>
          <w:p w14:paraId="0D2F5F6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26</w:t>
            </w:r>
            <w:r>
              <w:rPr>
                <w:rFonts w:hint="eastAsia" w:ascii="Times New Roman" w:hAnsi="Times New Roman" w:eastAsia="宋体" w:cs="Times New Roman"/>
                <w:color w:val="auto"/>
                <w:sz w:val="21"/>
                <w:lang w:val="en-US" w:eastAsia="zh-CN"/>
              </w:rPr>
              <w:t>2.99</w:t>
            </w:r>
            <w:r>
              <w:rPr>
                <w:rFonts w:ascii="Times New Roman" w:hAnsi="Times New Roman" w:eastAsia="宋体" w:cs="Times New Roman"/>
                <w:color w:val="auto"/>
                <w:sz w:val="21"/>
              </w:rPr>
              <w:t>±35.27</w:t>
            </w:r>
          </w:p>
        </w:tc>
        <w:tc>
          <w:tcPr>
            <w:tcW w:w="1078" w:type="pct"/>
            <w:tcBorders>
              <w:top w:val="nil"/>
              <w:left w:val="nil"/>
              <w:bottom w:val="single" w:color="000000" w:sz="6" w:space="0"/>
              <w:right w:val="nil"/>
            </w:tcBorders>
            <w:shd w:val="clear" w:color="auto" w:fill="auto"/>
            <w:tcMar>
              <w:top w:w="23" w:type="dxa"/>
              <w:left w:w="23" w:type="dxa"/>
              <w:bottom w:w="23" w:type="dxa"/>
              <w:right w:w="23" w:type="dxa"/>
            </w:tcMar>
            <w:vAlign w:val="center"/>
          </w:tcPr>
          <w:p w14:paraId="1C94C199">
            <w:pPr>
              <w:pStyle w:val="47"/>
              <w:spacing w:line="360" w:lineRule="auto"/>
              <w:rPr>
                <w:rFonts w:hint="default" w:ascii="Times New Roman" w:hAnsi="Times New Roman" w:eastAsia="宋体" w:cs="Times New Roman"/>
                <w:color w:val="auto"/>
                <w:sz w:val="21"/>
                <w:szCs w:val="18"/>
                <w:lang w:val="en-US" w:eastAsia="zh-CN" w:bidi="ar-SA"/>
              </w:rPr>
            </w:pPr>
            <w:r>
              <w:rPr>
                <w:rFonts w:ascii="Times New Roman" w:hAnsi="Times New Roman" w:eastAsia="宋体" w:cs="Times New Roman"/>
                <w:color w:val="auto"/>
                <w:sz w:val="21"/>
              </w:rPr>
              <w:t>31</w:t>
            </w:r>
            <w:r>
              <w:rPr>
                <w:rFonts w:hint="eastAsia" w:ascii="Times New Roman" w:hAnsi="Times New Roman" w:eastAsia="宋体" w:cs="Times New Roman"/>
                <w:color w:val="auto"/>
                <w:sz w:val="21"/>
                <w:lang w:val="en-US" w:eastAsia="zh-CN"/>
              </w:rPr>
              <w:t>7.57</w:t>
            </w:r>
            <w:r>
              <w:rPr>
                <w:rFonts w:ascii="Times New Roman" w:hAnsi="Times New Roman" w:eastAsia="宋体" w:cs="Times New Roman"/>
                <w:color w:val="auto"/>
                <w:sz w:val="21"/>
              </w:rPr>
              <w:t>±31.40</w:t>
            </w:r>
          </w:p>
        </w:tc>
        <w:tc>
          <w:tcPr>
            <w:tcW w:w="506" w:type="pct"/>
            <w:tcBorders>
              <w:top w:val="nil"/>
              <w:left w:val="nil"/>
              <w:bottom w:val="single" w:color="000000" w:sz="6" w:space="0"/>
              <w:right w:val="nil"/>
            </w:tcBorders>
            <w:tcMar>
              <w:top w:w="23" w:type="dxa"/>
              <w:left w:w="23" w:type="dxa"/>
              <w:bottom w:w="23" w:type="dxa"/>
              <w:right w:w="23" w:type="dxa"/>
            </w:tcMar>
            <w:vAlign w:val="center"/>
          </w:tcPr>
          <w:p w14:paraId="6D6B2F81">
            <w:pPr>
              <w:pStyle w:val="47"/>
              <w:spacing w:line="360" w:lineRule="auto"/>
              <w:rPr>
                <w:rFonts w:hint="default" w:ascii="Times New Roman" w:hAnsi="Times New Roman" w:eastAsia="宋体" w:cs="Times New Roman"/>
                <w:color w:val="auto"/>
                <w:sz w:val="21"/>
                <w:lang w:val="en-US" w:eastAsia="zh-CN"/>
              </w:rPr>
            </w:pPr>
            <w:r>
              <w:rPr>
                <w:rFonts w:ascii="Times New Roman" w:hAnsi="Times New Roman" w:eastAsia="宋体" w:cs="Times New Roman"/>
                <w:i/>
                <w:iCs/>
                <w:color w:val="auto"/>
                <w:sz w:val="21"/>
              </w:rPr>
              <w:t>t</w:t>
            </w:r>
            <w:r>
              <w:rPr>
                <w:rFonts w:ascii="Times New Roman" w:hAnsi="Times New Roman" w:eastAsia="宋体" w:cs="Times New Roman"/>
                <w:color w:val="auto"/>
                <w:sz w:val="21"/>
              </w:rPr>
              <w:t>=</w:t>
            </w:r>
            <w:r>
              <w:rPr>
                <w:rFonts w:hint="eastAsia" w:ascii="Times New Roman" w:hAnsi="Times New Roman" w:eastAsia="宋体" w:cs="Times New Roman"/>
                <w:color w:val="auto"/>
                <w:sz w:val="21"/>
                <w:lang w:val="en-US" w:eastAsia="zh-CN"/>
              </w:rPr>
              <w:t>13.380</w:t>
            </w:r>
          </w:p>
        </w:tc>
        <w:tc>
          <w:tcPr>
            <w:tcW w:w="427" w:type="pct"/>
            <w:tcBorders>
              <w:top w:val="nil"/>
              <w:left w:val="nil"/>
              <w:bottom w:val="single" w:color="000000" w:sz="6" w:space="0"/>
              <w:right w:val="nil"/>
            </w:tcBorders>
            <w:tcMar>
              <w:top w:w="23" w:type="dxa"/>
              <w:left w:w="23" w:type="dxa"/>
              <w:bottom w:w="23" w:type="dxa"/>
              <w:right w:w="23" w:type="dxa"/>
            </w:tcMar>
            <w:vAlign w:val="center"/>
          </w:tcPr>
          <w:p w14:paraId="440A603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r>
    </w:tbl>
    <w:p w14:paraId="0974C071">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注：GCS为格拉斯哥昏迷评分；NIHSS为美国国立卫生研究院卒中量表；D-D为D-二聚体；FIB为降钙素原；PT为凝血酶原时间；TT为凝血酶时间；APTT为活化部分凝血酶时间；VE-cadherin为血管内皮钙黏蛋白；S1P为1-磷酸鞘氨酸</w:t>
      </w:r>
    </w:p>
    <w:p w14:paraId="2FA82072">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六、HICH患者短期预后的多因素Logistic回归分析</w:t>
      </w:r>
    </w:p>
    <w:p w14:paraId="5FF17A6C">
      <w:pPr>
        <w:pStyle w:val="29"/>
        <w:spacing w:line="360" w:lineRule="auto"/>
        <w:ind w:firstLine="420"/>
        <w:rPr>
          <w:rFonts w:ascii="Times New Roman" w:hAnsi="Times New Roman" w:cs="Times New Roman"/>
          <w:color w:val="auto"/>
        </w:rPr>
      </w:pPr>
      <w:r>
        <w:rPr>
          <w:rFonts w:ascii="Times New Roman" w:hAnsi="Times New Roman" w:cs="Times New Roman"/>
          <w:color w:val="auto"/>
        </w:rPr>
        <w:t>以发病至入院时间、血肿体积、入院时GCS、入院时NIHSS评分、VE-cadherin、S1P为自变量（均原值录入），D-D、FIB、PT、TT、APTT因与VE-cadherin、S1P存在多重共线性[方差膨胀因子（variance inflation factor，</w:t>
      </w:r>
      <w:r>
        <w:rPr>
          <w:rFonts w:ascii="Times New Roman" w:hAnsi="Times New Roman" w:cs="Times New Roman"/>
          <w:iCs/>
          <w:color w:val="auto"/>
        </w:rPr>
        <w:t>VIF</w:t>
      </w:r>
      <w:r>
        <w:rPr>
          <w:rFonts w:ascii="Times New Roman" w:hAnsi="Times New Roman" w:cs="Times New Roman"/>
          <w:color w:val="auto"/>
        </w:rPr>
        <w:t>）]≥5，故不纳入。HICH患者短期预后（不良/良好＝1/0）为因变量建立Logistic回归模型（强制进入法），结果显示，血肿体积增加、入院时NIHSS评分增加、VE-cadherin升高、S1P升高均为HICH患者短期预后不良的独立危险因素（</w:t>
      </w:r>
      <w:r>
        <w:rPr>
          <w:rFonts w:ascii="Times New Roman" w:hAnsi="Times New Roman" w:cs="Times New Roman"/>
          <w:i/>
          <w:color w:val="auto"/>
        </w:rPr>
        <w:t>P</w:t>
      </w:r>
      <w:r>
        <w:rPr>
          <w:rFonts w:ascii="Times New Roman" w:hAnsi="Times New Roman" w:cs="Times New Roman"/>
          <w:iCs/>
          <w:color w:val="auto"/>
        </w:rPr>
        <w:t>均</w:t>
      </w:r>
      <w:r>
        <w:rPr>
          <w:rFonts w:ascii="Times New Roman" w:hAnsi="Times New Roman" w:cs="Times New Roman"/>
          <w:color w:val="auto"/>
        </w:rPr>
        <w:t>&lt;0.05，表5），入院时GCS增加为独立保护因素（</w:t>
      </w:r>
      <w:r>
        <w:rPr>
          <w:rFonts w:ascii="Times New Roman" w:hAnsi="Times New Roman" w:cs="Times New Roman"/>
          <w:i/>
          <w:color w:val="auto"/>
        </w:rPr>
        <w:t>P</w:t>
      </w:r>
      <w:r>
        <w:rPr>
          <w:rFonts w:ascii="Times New Roman" w:hAnsi="Times New Roman" w:cs="Times New Roman"/>
          <w:color w:val="auto"/>
        </w:rPr>
        <w:t>&lt;0.05，表5）。</w:t>
      </w:r>
    </w:p>
    <w:p w14:paraId="37DC4375">
      <w:pPr>
        <w:pStyle w:val="45"/>
        <w:spacing w:line="360" w:lineRule="auto"/>
        <w:ind w:firstLine="0" w:firstLineChars="0"/>
        <w:jc w:val="center"/>
        <w:rPr>
          <w:rFonts w:ascii="Times New Roman" w:hAnsi="Times New Roman" w:eastAsia="宋体" w:cs="Times New Roman"/>
          <w:b/>
          <w:bCs/>
          <w:color w:val="auto"/>
        </w:rPr>
      </w:pPr>
    </w:p>
    <w:p w14:paraId="4DF2663D">
      <w:pPr>
        <w:pStyle w:val="45"/>
        <w:spacing w:line="360" w:lineRule="auto"/>
        <w:ind w:firstLine="0" w:firstLineChars="0"/>
        <w:jc w:val="center"/>
        <w:rPr>
          <w:rFonts w:ascii="Times New Roman" w:hAnsi="Times New Roman" w:eastAsia="宋体" w:cs="Times New Roman"/>
          <w:color w:val="auto"/>
        </w:rPr>
      </w:pPr>
      <w:r>
        <w:rPr>
          <w:rFonts w:ascii="Times New Roman" w:hAnsi="Times New Roman" w:eastAsia="宋体" w:cs="Times New Roman"/>
          <w:b/>
          <w:bCs/>
          <w:color w:val="auto"/>
        </w:rPr>
        <w:t xml:space="preserve">表5 </w:t>
      </w:r>
      <w:r>
        <w:rPr>
          <w:rFonts w:ascii="Times New Roman" w:hAnsi="Times New Roman" w:eastAsia="宋体" w:cs="Times New Roman"/>
          <w:color w:val="auto"/>
        </w:rPr>
        <w:t xml:space="preserve"> 高血压脑出血患者短期预后的多因素Logistic回归分析</w:t>
      </w:r>
    </w:p>
    <w:tbl>
      <w:tblPr>
        <w:tblStyle w:val="11"/>
        <w:tblW w:w="4998" w:type="pct"/>
        <w:jc w:val="center"/>
        <w:tblBorders>
          <w:top w:val="single" w:color="000000" w:sz="6" w:space="0"/>
          <w:left w:val="none" w:color="auto" w:sz="0" w:space="0"/>
          <w:bottom w:val="single" w:color="000000"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42"/>
        <w:gridCol w:w="687"/>
        <w:gridCol w:w="919"/>
        <w:gridCol w:w="827"/>
        <w:gridCol w:w="1261"/>
        <w:gridCol w:w="844"/>
        <w:gridCol w:w="844"/>
        <w:gridCol w:w="1465"/>
      </w:tblGrid>
      <w:tr w14:paraId="3DED5AB2">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6749064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变量</w:t>
            </w:r>
            <w:bookmarkStart w:id="7" w:name="FX_TBL_ID800063F9"/>
            <w:bookmarkEnd w:id="7"/>
          </w:p>
        </w:tc>
        <w:tc>
          <w:tcPr>
            <w:tcW w:w="351"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7783B77F">
            <w:pPr>
              <w:pStyle w:val="47"/>
              <w:spacing w:line="360" w:lineRule="auto"/>
              <w:rPr>
                <w:rFonts w:ascii="Times New Roman" w:hAnsi="Times New Roman" w:eastAsia="宋体" w:cs="Times New Roman"/>
                <w:i/>
                <w:color w:val="auto"/>
                <w:sz w:val="21"/>
              </w:rPr>
            </w:pPr>
            <w:r>
              <w:rPr>
                <w:rFonts w:ascii="Times New Roman" w:hAnsi="Times New Roman" w:eastAsia="宋体" w:cs="Times New Roman"/>
                <w:iCs/>
                <w:color w:val="auto"/>
                <w:sz w:val="21"/>
              </w:rPr>
              <w:t>VIF</w:t>
            </w:r>
          </w:p>
        </w:tc>
        <w:tc>
          <w:tcPr>
            <w:tcW w:w="46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13238930">
            <w:pPr>
              <w:pStyle w:val="47"/>
              <w:spacing w:line="360" w:lineRule="auto"/>
              <w:rPr>
                <w:rFonts w:ascii="Times New Roman" w:hAnsi="Times New Roman" w:eastAsia="宋体" w:cs="Times New Roman"/>
                <w:i/>
                <w:color w:val="auto"/>
                <w:sz w:val="21"/>
              </w:rPr>
            </w:pPr>
            <w:r>
              <w:rPr>
                <w:rFonts w:ascii="Times New Roman" w:hAnsi="Times New Roman" w:eastAsia="宋体" w:cs="Times New Roman"/>
                <w:i/>
                <w:color w:val="auto"/>
                <w:sz w:val="21"/>
              </w:rPr>
              <w:t>β</w:t>
            </w:r>
            <w:r>
              <w:rPr>
                <w:rFonts w:ascii="Times New Roman" w:hAnsi="Times New Roman" w:eastAsia="宋体" w:cs="Times New Roman"/>
                <w:iCs/>
                <w:color w:val="auto"/>
                <w:sz w:val="21"/>
              </w:rPr>
              <w:t>值</w:t>
            </w:r>
          </w:p>
        </w:tc>
        <w:tc>
          <w:tcPr>
            <w:tcW w:w="422"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5552A844">
            <w:pPr>
              <w:pStyle w:val="47"/>
              <w:spacing w:line="360" w:lineRule="auto"/>
              <w:rPr>
                <w:rFonts w:ascii="Times New Roman" w:hAnsi="Times New Roman" w:eastAsia="宋体" w:cs="Times New Roman"/>
                <w:i/>
                <w:color w:val="auto"/>
                <w:sz w:val="21"/>
              </w:rPr>
            </w:pPr>
            <w:r>
              <w:rPr>
                <w:rFonts w:ascii="Times New Roman" w:hAnsi="Times New Roman" w:eastAsia="宋体" w:cs="Times New Roman"/>
                <w:i/>
                <w:color w:val="auto"/>
                <w:sz w:val="21"/>
              </w:rPr>
              <w:t>SE</w:t>
            </w:r>
            <w:r>
              <w:rPr>
                <w:rFonts w:ascii="Times New Roman" w:hAnsi="Times New Roman" w:eastAsia="宋体" w:cs="Times New Roman"/>
                <w:iCs/>
                <w:color w:val="auto"/>
                <w:sz w:val="21"/>
              </w:rPr>
              <w:t>值</w:t>
            </w:r>
          </w:p>
        </w:tc>
        <w:tc>
          <w:tcPr>
            <w:tcW w:w="644"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5F0E0A86">
            <w:pPr>
              <w:pStyle w:val="47"/>
              <w:spacing w:line="360" w:lineRule="auto"/>
              <w:rPr>
                <w:rFonts w:ascii="Times New Roman" w:hAnsi="Times New Roman" w:eastAsia="宋体" w:cs="Times New Roman"/>
                <w:color w:val="auto"/>
                <w:sz w:val="21"/>
              </w:rPr>
            </w:pPr>
            <w:r>
              <w:rPr>
                <w:rFonts w:ascii="Times New Roman" w:hAnsi="Times New Roman" w:eastAsia="宋体" w:cs="Times New Roman"/>
                <w:iCs/>
                <w:color w:val="auto"/>
                <w:sz w:val="21"/>
              </w:rPr>
              <w:t xml:space="preserve">Wald </w:t>
            </w:r>
            <w:r>
              <w:rPr>
                <w:rFonts w:ascii="Times New Roman" w:hAnsi="Times New Roman" w:eastAsia="宋体" w:cs="Times New Roman"/>
                <w:i/>
                <w:color w:val="auto"/>
                <w:sz w:val="21"/>
              </w:rPr>
              <w:t>χ</w:t>
            </w:r>
            <w:r>
              <w:rPr>
                <w:rFonts w:ascii="Times New Roman" w:hAnsi="Times New Roman" w:eastAsia="宋体" w:cs="Times New Roman"/>
                <w:color w:val="auto"/>
                <w:sz w:val="21"/>
                <w:vertAlign w:val="superscript"/>
              </w:rPr>
              <w:t>2</w:t>
            </w:r>
            <w:r>
              <w:rPr>
                <w:rFonts w:ascii="Times New Roman" w:hAnsi="Times New Roman" w:eastAsia="宋体" w:cs="Times New Roman"/>
                <w:iCs/>
                <w:color w:val="auto"/>
                <w:sz w:val="21"/>
              </w:rPr>
              <w:t>值</w:t>
            </w:r>
          </w:p>
        </w:tc>
        <w:tc>
          <w:tcPr>
            <w:tcW w:w="431"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38B69E02">
            <w:pPr>
              <w:pStyle w:val="47"/>
              <w:spacing w:line="360" w:lineRule="auto"/>
              <w:rPr>
                <w:rFonts w:ascii="Times New Roman" w:hAnsi="Times New Roman" w:eastAsia="宋体" w:cs="Times New Roman"/>
                <w:iCs/>
                <w:color w:val="auto"/>
                <w:sz w:val="21"/>
              </w:rPr>
            </w:pPr>
            <w:r>
              <w:rPr>
                <w:rFonts w:ascii="Times New Roman" w:hAnsi="Times New Roman" w:eastAsia="宋体" w:cs="Times New Roman"/>
                <w:i/>
                <w:color w:val="auto"/>
                <w:sz w:val="21"/>
              </w:rPr>
              <w:t>P</w:t>
            </w:r>
            <w:r>
              <w:rPr>
                <w:rFonts w:ascii="Times New Roman" w:hAnsi="Times New Roman" w:eastAsia="宋体" w:cs="Times New Roman"/>
                <w:iCs/>
                <w:color w:val="auto"/>
                <w:sz w:val="21"/>
              </w:rPr>
              <w:t>值</w:t>
            </w:r>
          </w:p>
        </w:tc>
        <w:tc>
          <w:tcPr>
            <w:tcW w:w="431"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50D878B5">
            <w:pPr>
              <w:pStyle w:val="47"/>
              <w:spacing w:line="360" w:lineRule="auto"/>
              <w:rPr>
                <w:rFonts w:ascii="Times New Roman" w:hAnsi="Times New Roman" w:eastAsia="宋体" w:cs="Times New Roman"/>
                <w:i/>
                <w:color w:val="auto"/>
                <w:sz w:val="21"/>
              </w:rPr>
            </w:pPr>
            <w:r>
              <w:rPr>
                <w:rFonts w:ascii="Times New Roman" w:hAnsi="Times New Roman" w:eastAsia="宋体" w:cs="Times New Roman"/>
                <w:i/>
                <w:color w:val="auto"/>
                <w:sz w:val="21"/>
              </w:rPr>
              <w:t>OR</w:t>
            </w:r>
            <w:r>
              <w:rPr>
                <w:rFonts w:ascii="Times New Roman" w:hAnsi="Times New Roman" w:eastAsia="宋体" w:cs="Times New Roman"/>
                <w:iCs/>
                <w:color w:val="auto"/>
                <w:sz w:val="21"/>
              </w:rPr>
              <w:t>值</w:t>
            </w:r>
          </w:p>
        </w:tc>
        <w:tc>
          <w:tcPr>
            <w:tcW w:w="748"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1B9BAA9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95%CI</w:t>
            </w:r>
          </w:p>
        </w:tc>
      </w:tr>
      <w:tr w14:paraId="19E36A3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single" w:color="000000" w:sz="2" w:space="0"/>
              <w:left w:val="nil"/>
              <w:bottom w:val="nil"/>
              <w:right w:val="nil"/>
            </w:tcBorders>
            <w:tcMar>
              <w:top w:w="23" w:type="dxa"/>
              <w:left w:w="23" w:type="dxa"/>
              <w:bottom w:w="23" w:type="dxa"/>
              <w:right w:w="23" w:type="dxa"/>
            </w:tcMar>
            <w:vAlign w:val="center"/>
          </w:tcPr>
          <w:p w14:paraId="55BD3CB3">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发病至入院时间延长</w:t>
            </w:r>
          </w:p>
        </w:tc>
        <w:tc>
          <w:tcPr>
            <w:tcW w:w="351" w:type="pct"/>
            <w:tcBorders>
              <w:top w:val="single" w:color="000000" w:sz="2" w:space="0"/>
              <w:left w:val="nil"/>
              <w:bottom w:val="nil"/>
              <w:right w:val="nil"/>
            </w:tcBorders>
            <w:tcMar>
              <w:top w:w="23" w:type="dxa"/>
              <w:left w:w="23" w:type="dxa"/>
              <w:bottom w:w="23" w:type="dxa"/>
              <w:right w:w="23" w:type="dxa"/>
            </w:tcMar>
            <w:vAlign w:val="center"/>
          </w:tcPr>
          <w:p w14:paraId="57CE774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1.134</w:t>
            </w:r>
          </w:p>
        </w:tc>
        <w:tc>
          <w:tcPr>
            <w:tcW w:w="469" w:type="pct"/>
            <w:tcBorders>
              <w:top w:val="single" w:color="000000" w:sz="2" w:space="0"/>
              <w:left w:val="nil"/>
              <w:bottom w:val="nil"/>
              <w:right w:val="nil"/>
            </w:tcBorders>
            <w:tcMar>
              <w:top w:w="23" w:type="dxa"/>
              <w:left w:w="23" w:type="dxa"/>
              <w:bottom w:w="23" w:type="dxa"/>
              <w:right w:w="23" w:type="dxa"/>
            </w:tcMar>
            <w:vAlign w:val="center"/>
          </w:tcPr>
          <w:p w14:paraId="26C3510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0.300</w:t>
            </w:r>
          </w:p>
        </w:tc>
        <w:tc>
          <w:tcPr>
            <w:tcW w:w="422" w:type="pct"/>
            <w:tcBorders>
              <w:top w:val="single" w:color="000000" w:sz="2" w:space="0"/>
              <w:left w:val="nil"/>
              <w:bottom w:val="nil"/>
              <w:right w:val="nil"/>
            </w:tcBorders>
            <w:tcMar>
              <w:top w:w="23" w:type="dxa"/>
              <w:left w:w="23" w:type="dxa"/>
              <w:bottom w:w="23" w:type="dxa"/>
              <w:right w:w="23" w:type="dxa"/>
            </w:tcMar>
            <w:vAlign w:val="center"/>
          </w:tcPr>
          <w:p w14:paraId="2E08A97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0.377</w:t>
            </w:r>
          </w:p>
        </w:tc>
        <w:tc>
          <w:tcPr>
            <w:tcW w:w="644" w:type="pct"/>
            <w:tcBorders>
              <w:top w:val="single" w:color="000000" w:sz="2" w:space="0"/>
              <w:left w:val="nil"/>
              <w:bottom w:val="nil"/>
              <w:right w:val="nil"/>
            </w:tcBorders>
            <w:tcMar>
              <w:top w:w="23" w:type="dxa"/>
              <w:left w:w="23" w:type="dxa"/>
              <w:bottom w:w="23" w:type="dxa"/>
              <w:right w:w="23" w:type="dxa"/>
            </w:tcMar>
            <w:vAlign w:val="center"/>
          </w:tcPr>
          <w:p w14:paraId="1D5A73A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0.631</w:t>
            </w:r>
          </w:p>
        </w:tc>
        <w:tc>
          <w:tcPr>
            <w:tcW w:w="431" w:type="pct"/>
            <w:tcBorders>
              <w:top w:val="single" w:color="000000" w:sz="2" w:space="0"/>
              <w:left w:val="nil"/>
              <w:bottom w:val="nil"/>
              <w:right w:val="nil"/>
            </w:tcBorders>
            <w:tcMar>
              <w:top w:w="23" w:type="dxa"/>
              <w:left w:w="23" w:type="dxa"/>
              <w:bottom w:w="23" w:type="dxa"/>
              <w:right w:w="23" w:type="dxa"/>
            </w:tcMar>
            <w:vAlign w:val="center"/>
          </w:tcPr>
          <w:p w14:paraId="3214A331">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0.427</w:t>
            </w:r>
          </w:p>
        </w:tc>
        <w:tc>
          <w:tcPr>
            <w:tcW w:w="431" w:type="pct"/>
            <w:tcBorders>
              <w:top w:val="single" w:color="000000" w:sz="2" w:space="0"/>
              <w:left w:val="nil"/>
              <w:bottom w:val="nil"/>
              <w:right w:val="nil"/>
            </w:tcBorders>
            <w:tcMar>
              <w:top w:w="23" w:type="dxa"/>
              <w:left w:w="23" w:type="dxa"/>
              <w:bottom w:w="23" w:type="dxa"/>
              <w:right w:w="23" w:type="dxa"/>
            </w:tcMar>
            <w:vAlign w:val="center"/>
          </w:tcPr>
          <w:p w14:paraId="5CC5657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1.350</w:t>
            </w:r>
          </w:p>
        </w:tc>
        <w:tc>
          <w:tcPr>
            <w:tcW w:w="748" w:type="pct"/>
            <w:tcBorders>
              <w:top w:val="single" w:color="000000" w:sz="2" w:space="0"/>
              <w:left w:val="nil"/>
              <w:bottom w:val="nil"/>
              <w:right w:val="nil"/>
            </w:tcBorders>
            <w:tcMar>
              <w:top w:w="23" w:type="dxa"/>
              <w:left w:w="23" w:type="dxa"/>
              <w:bottom w:w="23" w:type="dxa"/>
              <w:right w:w="23" w:type="dxa"/>
            </w:tcMar>
            <w:vAlign w:val="center"/>
          </w:tcPr>
          <w:p w14:paraId="1BD372A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0.644~2.828</w:t>
            </w:r>
          </w:p>
        </w:tc>
      </w:tr>
      <w:tr w14:paraId="1C83A823">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nil"/>
              <w:left w:val="nil"/>
              <w:bottom w:val="nil"/>
              <w:right w:val="nil"/>
            </w:tcBorders>
            <w:tcMar>
              <w:top w:w="23" w:type="dxa"/>
              <w:left w:w="23" w:type="dxa"/>
              <w:bottom w:w="23" w:type="dxa"/>
              <w:right w:w="23" w:type="dxa"/>
            </w:tcMar>
            <w:vAlign w:val="center"/>
          </w:tcPr>
          <w:p w14:paraId="446F3E4A">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血肿体积增加</w:t>
            </w:r>
          </w:p>
        </w:tc>
        <w:tc>
          <w:tcPr>
            <w:tcW w:w="351" w:type="pct"/>
            <w:tcBorders>
              <w:top w:val="nil"/>
              <w:left w:val="nil"/>
              <w:bottom w:val="nil"/>
              <w:right w:val="nil"/>
            </w:tcBorders>
            <w:tcMar>
              <w:top w:w="23" w:type="dxa"/>
              <w:left w:w="23" w:type="dxa"/>
              <w:bottom w:w="23" w:type="dxa"/>
              <w:right w:w="23" w:type="dxa"/>
            </w:tcMar>
            <w:vAlign w:val="center"/>
          </w:tcPr>
          <w:p w14:paraId="7AB5631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1.167</w:t>
            </w:r>
          </w:p>
        </w:tc>
        <w:tc>
          <w:tcPr>
            <w:tcW w:w="469" w:type="pct"/>
            <w:tcBorders>
              <w:top w:val="nil"/>
              <w:left w:val="nil"/>
              <w:bottom w:val="nil"/>
              <w:right w:val="nil"/>
            </w:tcBorders>
            <w:tcMar>
              <w:top w:w="23" w:type="dxa"/>
              <w:left w:w="23" w:type="dxa"/>
              <w:bottom w:w="23" w:type="dxa"/>
              <w:right w:w="23" w:type="dxa"/>
            </w:tcMar>
            <w:vAlign w:val="center"/>
          </w:tcPr>
          <w:p w14:paraId="1BA74AC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0.216</w:t>
            </w:r>
          </w:p>
        </w:tc>
        <w:tc>
          <w:tcPr>
            <w:tcW w:w="422" w:type="pct"/>
            <w:tcBorders>
              <w:top w:val="nil"/>
              <w:left w:val="nil"/>
              <w:bottom w:val="nil"/>
              <w:right w:val="nil"/>
            </w:tcBorders>
            <w:tcMar>
              <w:top w:w="23" w:type="dxa"/>
              <w:left w:w="23" w:type="dxa"/>
              <w:bottom w:w="23" w:type="dxa"/>
              <w:right w:w="23" w:type="dxa"/>
            </w:tcMar>
            <w:vAlign w:val="center"/>
          </w:tcPr>
          <w:p w14:paraId="7BEBF9C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0.075</w:t>
            </w:r>
          </w:p>
        </w:tc>
        <w:tc>
          <w:tcPr>
            <w:tcW w:w="644" w:type="pct"/>
            <w:tcBorders>
              <w:top w:val="nil"/>
              <w:left w:val="nil"/>
              <w:bottom w:val="nil"/>
              <w:right w:val="nil"/>
            </w:tcBorders>
            <w:tcMar>
              <w:top w:w="23" w:type="dxa"/>
              <w:left w:w="23" w:type="dxa"/>
              <w:bottom w:w="23" w:type="dxa"/>
              <w:right w:w="23" w:type="dxa"/>
            </w:tcMar>
            <w:vAlign w:val="center"/>
          </w:tcPr>
          <w:p w14:paraId="26DA001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8.388</w:t>
            </w:r>
          </w:p>
        </w:tc>
        <w:tc>
          <w:tcPr>
            <w:tcW w:w="431" w:type="pct"/>
            <w:tcBorders>
              <w:top w:val="nil"/>
              <w:left w:val="nil"/>
              <w:bottom w:val="nil"/>
              <w:right w:val="nil"/>
            </w:tcBorders>
            <w:tcMar>
              <w:top w:w="23" w:type="dxa"/>
              <w:left w:w="23" w:type="dxa"/>
              <w:bottom w:w="23" w:type="dxa"/>
              <w:right w:w="23" w:type="dxa"/>
            </w:tcMar>
            <w:vAlign w:val="center"/>
          </w:tcPr>
          <w:p w14:paraId="1442403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0.004</w:t>
            </w:r>
          </w:p>
        </w:tc>
        <w:tc>
          <w:tcPr>
            <w:tcW w:w="431" w:type="pct"/>
            <w:tcBorders>
              <w:top w:val="nil"/>
              <w:left w:val="nil"/>
              <w:bottom w:val="nil"/>
              <w:right w:val="nil"/>
            </w:tcBorders>
            <w:tcMar>
              <w:top w:w="23" w:type="dxa"/>
              <w:left w:w="23" w:type="dxa"/>
              <w:bottom w:w="23" w:type="dxa"/>
              <w:right w:w="23" w:type="dxa"/>
            </w:tcMar>
            <w:vAlign w:val="center"/>
          </w:tcPr>
          <w:p w14:paraId="4CA6008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1.241</w:t>
            </w:r>
          </w:p>
        </w:tc>
        <w:tc>
          <w:tcPr>
            <w:tcW w:w="748" w:type="pct"/>
            <w:tcBorders>
              <w:top w:val="nil"/>
              <w:left w:val="nil"/>
              <w:bottom w:val="nil"/>
              <w:right w:val="nil"/>
            </w:tcBorders>
            <w:tcMar>
              <w:top w:w="23" w:type="dxa"/>
              <w:left w:w="23" w:type="dxa"/>
              <w:bottom w:w="23" w:type="dxa"/>
              <w:right w:w="23" w:type="dxa"/>
            </w:tcMar>
            <w:vAlign w:val="center"/>
          </w:tcPr>
          <w:p w14:paraId="176F1BA1">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1.072~1.436</w:t>
            </w:r>
          </w:p>
        </w:tc>
      </w:tr>
      <w:tr w14:paraId="2041AA07">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nil"/>
              <w:left w:val="nil"/>
              <w:bottom w:val="nil"/>
              <w:right w:val="nil"/>
            </w:tcBorders>
            <w:tcMar>
              <w:top w:w="23" w:type="dxa"/>
              <w:left w:w="23" w:type="dxa"/>
              <w:bottom w:w="23" w:type="dxa"/>
              <w:right w:w="23" w:type="dxa"/>
            </w:tcMar>
            <w:vAlign w:val="center"/>
          </w:tcPr>
          <w:p w14:paraId="01D6067C">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入院时GCS增加</w:t>
            </w:r>
          </w:p>
        </w:tc>
        <w:tc>
          <w:tcPr>
            <w:tcW w:w="351" w:type="pct"/>
            <w:tcBorders>
              <w:top w:val="nil"/>
              <w:left w:val="nil"/>
              <w:bottom w:val="nil"/>
              <w:right w:val="nil"/>
            </w:tcBorders>
            <w:tcMar>
              <w:top w:w="23" w:type="dxa"/>
              <w:left w:w="23" w:type="dxa"/>
              <w:bottom w:w="23" w:type="dxa"/>
              <w:right w:w="23" w:type="dxa"/>
            </w:tcMar>
            <w:vAlign w:val="center"/>
          </w:tcPr>
          <w:p w14:paraId="0AC3664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2.219</w:t>
            </w:r>
          </w:p>
        </w:tc>
        <w:tc>
          <w:tcPr>
            <w:tcW w:w="469" w:type="pct"/>
            <w:tcBorders>
              <w:top w:val="nil"/>
              <w:left w:val="nil"/>
              <w:bottom w:val="nil"/>
              <w:right w:val="nil"/>
            </w:tcBorders>
            <w:tcMar>
              <w:top w:w="23" w:type="dxa"/>
              <w:left w:w="23" w:type="dxa"/>
              <w:bottom w:w="23" w:type="dxa"/>
              <w:right w:w="23" w:type="dxa"/>
            </w:tcMar>
            <w:vAlign w:val="center"/>
          </w:tcPr>
          <w:p w14:paraId="0537006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-0.555</w:t>
            </w:r>
          </w:p>
        </w:tc>
        <w:tc>
          <w:tcPr>
            <w:tcW w:w="422" w:type="pct"/>
            <w:tcBorders>
              <w:top w:val="nil"/>
              <w:left w:val="nil"/>
              <w:bottom w:val="nil"/>
              <w:right w:val="nil"/>
            </w:tcBorders>
            <w:tcMar>
              <w:top w:w="23" w:type="dxa"/>
              <w:left w:w="23" w:type="dxa"/>
              <w:bottom w:w="23" w:type="dxa"/>
              <w:right w:w="23" w:type="dxa"/>
            </w:tcMar>
            <w:vAlign w:val="center"/>
          </w:tcPr>
          <w:p w14:paraId="2A17DEC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0.202</w:t>
            </w:r>
          </w:p>
        </w:tc>
        <w:tc>
          <w:tcPr>
            <w:tcW w:w="644" w:type="pct"/>
            <w:tcBorders>
              <w:top w:val="nil"/>
              <w:left w:val="nil"/>
              <w:bottom w:val="nil"/>
              <w:right w:val="nil"/>
            </w:tcBorders>
            <w:tcMar>
              <w:top w:w="23" w:type="dxa"/>
              <w:left w:w="23" w:type="dxa"/>
              <w:bottom w:w="23" w:type="dxa"/>
              <w:right w:w="23" w:type="dxa"/>
            </w:tcMar>
            <w:vAlign w:val="center"/>
          </w:tcPr>
          <w:p w14:paraId="70CB5C8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7.524</w:t>
            </w:r>
          </w:p>
        </w:tc>
        <w:tc>
          <w:tcPr>
            <w:tcW w:w="431" w:type="pct"/>
            <w:tcBorders>
              <w:top w:val="nil"/>
              <w:left w:val="nil"/>
              <w:bottom w:val="nil"/>
              <w:right w:val="nil"/>
            </w:tcBorders>
            <w:tcMar>
              <w:top w:w="23" w:type="dxa"/>
              <w:left w:w="23" w:type="dxa"/>
              <w:bottom w:w="23" w:type="dxa"/>
              <w:right w:w="23" w:type="dxa"/>
            </w:tcMar>
            <w:vAlign w:val="center"/>
          </w:tcPr>
          <w:p w14:paraId="44A99C3B">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0.006</w:t>
            </w:r>
          </w:p>
        </w:tc>
        <w:tc>
          <w:tcPr>
            <w:tcW w:w="431" w:type="pct"/>
            <w:tcBorders>
              <w:top w:val="nil"/>
              <w:left w:val="nil"/>
              <w:bottom w:val="nil"/>
              <w:right w:val="nil"/>
            </w:tcBorders>
            <w:tcMar>
              <w:top w:w="23" w:type="dxa"/>
              <w:left w:w="23" w:type="dxa"/>
              <w:bottom w:w="23" w:type="dxa"/>
              <w:right w:w="23" w:type="dxa"/>
            </w:tcMar>
            <w:vAlign w:val="center"/>
          </w:tcPr>
          <w:p w14:paraId="39DB609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0.574</w:t>
            </w:r>
          </w:p>
        </w:tc>
        <w:tc>
          <w:tcPr>
            <w:tcW w:w="748" w:type="pct"/>
            <w:tcBorders>
              <w:top w:val="nil"/>
              <w:left w:val="nil"/>
              <w:bottom w:val="nil"/>
              <w:right w:val="nil"/>
            </w:tcBorders>
            <w:tcMar>
              <w:top w:w="23" w:type="dxa"/>
              <w:left w:w="23" w:type="dxa"/>
              <w:bottom w:w="23" w:type="dxa"/>
              <w:right w:w="23" w:type="dxa"/>
            </w:tcMar>
            <w:vAlign w:val="center"/>
          </w:tcPr>
          <w:p w14:paraId="3014926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0.386~0.853</w:t>
            </w:r>
          </w:p>
        </w:tc>
      </w:tr>
      <w:tr w14:paraId="230DDA2C">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nil"/>
              <w:left w:val="nil"/>
              <w:bottom w:val="nil"/>
              <w:right w:val="nil"/>
            </w:tcBorders>
            <w:tcMar>
              <w:top w:w="23" w:type="dxa"/>
              <w:left w:w="23" w:type="dxa"/>
              <w:bottom w:w="23" w:type="dxa"/>
              <w:right w:w="23" w:type="dxa"/>
            </w:tcMar>
            <w:vAlign w:val="center"/>
          </w:tcPr>
          <w:p w14:paraId="122486E4">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入院时NIHSS评分增加</w:t>
            </w:r>
          </w:p>
        </w:tc>
        <w:tc>
          <w:tcPr>
            <w:tcW w:w="351" w:type="pct"/>
            <w:tcBorders>
              <w:top w:val="nil"/>
              <w:left w:val="nil"/>
              <w:bottom w:val="nil"/>
              <w:right w:val="nil"/>
            </w:tcBorders>
            <w:tcMar>
              <w:top w:w="23" w:type="dxa"/>
              <w:left w:w="23" w:type="dxa"/>
              <w:bottom w:w="23" w:type="dxa"/>
              <w:right w:w="23" w:type="dxa"/>
            </w:tcMar>
            <w:vAlign w:val="center"/>
          </w:tcPr>
          <w:p w14:paraId="1E57A31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3.161</w:t>
            </w:r>
          </w:p>
        </w:tc>
        <w:tc>
          <w:tcPr>
            <w:tcW w:w="469" w:type="pct"/>
            <w:tcBorders>
              <w:top w:val="nil"/>
              <w:left w:val="nil"/>
              <w:bottom w:val="nil"/>
              <w:right w:val="nil"/>
            </w:tcBorders>
            <w:tcMar>
              <w:top w:w="23" w:type="dxa"/>
              <w:left w:w="23" w:type="dxa"/>
              <w:bottom w:w="23" w:type="dxa"/>
              <w:right w:w="23" w:type="dxa"/>
            </w:tcMar>
            <w:vAlign w:val="center"/>
          </w:tcPr>
          <w:p w14:paraId="231836B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0.248</w:t>
            </w:r>
          </w:p>
        </w:tc>
        <w:tc>
          <w:tcPr>
            <w:tcW w:w="422" w:type="pct"/>
            <w:tcBorders>
              <w:top w:val="nil"/>
              <w:left w:val="nil"/>
              <w:bottom w:val="nil"/>
              <w:right w:val="nil"/>
            </w:tcBorders>
            <w:tcMar>
              <w:top w:w="23" w:type="dxa"/>
              <w:left w:w="23" w:type="dxa"/>
              <w:bottom w:w="23" w:type="dxa"/>
              <w:right w:w="23" w:type="dxa"/>
            </w:tcMar>
            <w:vAlign w:val="center"/>
          </w:tcPr>
          <w:p w14:paraId="72F70AE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0.085</w:t>
            </w:r>
          </w:p>
        </w:tc>
        <w:tc>
          <w:tcPr>
            <w:tcW w:w="644" w:type="pct"/>
            <w:tcBorders>
              <w:top w:val="nil"/>
              <w:left w:val="nil"/>
              <w:bottom w:val="nil"/>
              <w:right w:val="nil"/>
            </w:tcBorders>
            <w:tcMar>
              <w:top w:w="23" w:type="dxa"/>
              <w:left w:w="23" w:type="dxa"/>
              <w:bottom w:w="23" w:type="dxa"/>
              <w:right w:w="23" w:type="dxa"/>
            </w:tcMar>
            <w:vAlign w:val="center"/>
          </w:tcPr>
          <w:p w14:paraId="0A6926C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8.581</w:t>
            </w:r>
          </w:p>
        </w:tc>
        <w:tc>
          <w:tcPr>
            <w:tcW w:w="431" w:type="pct"/>
            <w:tcBorders>
              <w:top w:val="nil"/>
              <w:left w:val="nil"/>
              <w:bottom w:val="nil"/>
              <w:right w:val="nil"/>
            </w:tcBorders>
            <w:tcMar>
              <w:top w:w="23" w:type="dxa"/>
              <w:left w:w="23" w:type="dxa"/>
              <w:bottom w:w="23" w:type="dxa"/>
              <w:right w:w="23" w:type="dxa"/>
            </w:tcMar>
            <w:vAlign w:val="center"/>
          </w:tcPr>
          <w:p w14:paraId="7F00FC8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0.003</w:t>
            </w:r>
          </w:p>
        </w:tc>
        <w:tc>
          <w:tcPr>
            <w:tcW w:w="431" w:type="pct"/>
            <w:tcBorders>
              <w:top w:val="nil"/>
              <w:left w:val="nil"/>
              <w:bottom w:val="nil"/>
              <w:right w:val="nil"/>
            </w:tcBorders>
            <w:tcMar>
              <w:top w:w="23" w:type="dxa"/>
              <w:left w:w="23" w:type="dxa"/>
              <w:bottom w:w="23" w:type="dxa"/>
              <w:right w:w="23" w:type="dxa"/>
            </w:tcMar>
            <w:vAlign w:val="center"/>
          </w:tcPr>
          <w:p w14:paraId="63E594C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1.282</w:t>
            </w:r>
          </w:p>
        </w:tc>
        <w:tc>
          <w:tcPr>
            <w:tcW w:w="748" w:type="pct"/>
            <w:tcBorders>
              <w:top w:val="nil"/>
              <w:left w:val="nil"/>
              <w:bottom w:val="nil"/>
              <w:right w:val="nil"/>
            </w:tcBorders>
            <w:tcMar>
              <w:top w:w="23" w:type="dxa"/>
              <w:left w:w="23" w:type="dxa"/>
              <w:bottom w:w="23" w:type="dxa"/>
              <w:right w:w="23" w:type="dxa"/>
            </w:tcMar>
            <w:vAlign w:val="center"/>
          </w:tcPr>
          <w:p w14:paraId="79894AF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1.086~1.513</w:t>
            </w:r>
          </w:p>
        </w:tc>
      </w:tr>
      <w:tr w14:paraId="4ADFE755">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nil"/>
              <w:left w:val="nil"/>
              <w:bottom w:val="nil"/>
              <w:right w:val="nil"/>
            </w:tcBorders>
            <w:tcMar>
              <w:top w:w="23" w:type="dxa"/>
              <w:left w:w="23" w:type="dxa"/>
              <w:bottom w:w="23" w:type="dxa"/>
              <w:right w:w="23" w:type="dxa"/>
            </w:tcMar>
            <w:vAlign w:val="center"/>
          </w:tcPr>
          <w:p w14:paraId="657787F3">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VE-cadherin升高</w:t>
            </w:r>
          </w:p>
        </w:tc>
        <w:tc>
          <w:tcPr>
            <w:tcW w:w="351" w:type="pct"/>
            <w:tcBorders>
              <w:top w:val="nil"/>
              <w:left w:val="nil"/>
              <w:bottom w:val="nil"/>
              <w:right w:val="nil"/>
            </w:tcBorders>
            <w:tcMar>
              <w:top w:w="23" w:type="dxa"/>
              <w:left w:w="23" w:type="dxa"/>
              <w:bottom w:w="23" w:type="dxa"/>
              <w:right w:w="23" w:type="dxa"/>
            </w:tcMar>
            <w:vAlign w:val="center"/>
          </w:tcPr>
          <w:p w14:paraId="35A7576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3.293</w:t>
            </w:r>
          </w:p>
        </w:tc>
        <w:tc>
          <w:tcPr>
            <w:tcW w:w="469" w:type="pct"/>
            <w:tcBorders>
              <w:top w:val="nil"/>
              <w:left w:val="nil"/>
              <w:bottom w:val="nil"/>
              <w:right w:val="nil"/>
            </w:tcBorders>
            <w:tcMar>
              <w:top w:w="23" w:type="dxa"/>
              <w:left w:w="23" w:type="dxa"/>
              <w:bottom w:w="23" w:type="dxa"/>
              <w:right w:w="23" w:type="dxa"/>
            </w:tcMar>
            <w:vAlign w:val="center"/>
          </w:tcPr>
          <w:p w14:paraId="6FD2153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0.948</w:t>
            </w:r>
          </w:p>
        </w:tc>
        <w:tc>
          <w:tcPr>
            <w:tcW w:w="422" w:type="pct"/>
            <w:tcBorders>
              <w:top w:val="nil"/>
              <w:left w:val="nil"/>
              <w:bottom w:val="nil"/>
              <w:right w:val="nil"/>
            </w:tcBorders>
            <w:tcMar>
              <w:top w:w="23" w:type="dxa"/>
              <w:left w:w="23" w:type="dxa"/>
              <w:bottom w:w="23" w:type="dxa"/>
              <w:right w:w="23" w:type="dxa"/>
            </w:tcMar>
            <w:vAlign w:val="center"/>
          </w:tcPr>
          <w:p w14:paraId="6984BB4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0.380</w:t>
            </w:r>
          </w:p>
        </w:tc>
        <w:tc>
          <w:tcPr>
            <w:tcW w:w="644" w:type="pct"/>
            <w:tcBorders>
              <w:top w:val="nil"/>
              <w:left w:val="nil"/>
              <w:bottom w:val="nil"/>
              <w:right w:val="nil"/>
            </w:tcBorders>
            <w:tcMar>
              <w:top w:w="23" w:type="dxa"/>
              <w:left w:w="23" w:type="dxa"/>
              <w:bottom w:w="23" w:type="dxa"/>
              <w:right w:w="23" w:type="dxa"/>
            </w:tcMar>
            <w:vAlign w:val="center"/>
          </w:tcPr>
          <w:p w14:paraId="2411FDB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6.218</w:t>
            </w:r>
          </w:p>
        </w:tc>
        <w:tc>
          <w:tcPr>
            <w:tcW w:w="431" w:type="pct"/>
            <w:tcBorders>
              <w:top w:val="nil"/>
              <w:left w:val="nil"/>
              <w:bottom w:val="nil"/>
              <w:right w:val="nil"/>
            </w:tcBorders>
            <w:tcMar>
              <w:top w:w="23" w:type="dxa"/>
              <w:left w:w="23" w:type="dxa"/>
              <w:bottom w:w="23" w:type="dxa"/>
              <w:right w:w="23" w:type="dxa"/>
            </w:tcMar>
            <w:vAlign w:val="center"/>
          </w:tcPr>
          <w:p w14:paraId="613E5A2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0.013</w:t>
            </w:r>
          </w:p>
        </w:tc>
        <w:tc>
          <w:tcPr>
            <w:tcW w:w="431" w:type="pct"/>
            <w:tcBorders>
              <w:top w:val="nil"/>
              <w:left w:val="nil"/>
              <w:bottom w:val="nil"/>
              <w:right w:val="nil"/>
            </w:tcBorders>
            <w:tcMar>
              <w:top w:w="23" w:type="dxa"/>
              <w:left w:w="23" w:type="dxa"/>
              <w:bottom w:w="23" w:type="dxa"/>
              <w:right w:w="23" w:type="dxa"/>
            </w:tcMar>
            <w:vAlign w:val="center"/>
          </w:tcPr>
          <w:p w14:paraId="30153E6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2.580</w:t>
            </w:r>
          </w:p>
        </w:tc>
        <w:tc>
          <w:tcPr>
            <w:tcW w:w="748" w:type="pct"/>
            <w:tcBorders>
              <w:top w:val="nil"/>
              <w:left w:val="nil"/>
              <w:bottom w:val="nil"/>
              <w:right w:val="nil"/>
            </w:tcBorders>
            <w:tcMar>
              <w:top w:w="23" w:type="dxa"/>
              <w:left w:w="23" w:type="dxa"/>
              <w:bottom w:w="23" w:type="dxa"/>
              <w:right w:w="23" w:type="dxa"/>
            </w:tcMar>
            <w:vAlign w:val="center"/>
          </w:tcPr>
          <w:p w14:paraId="3A07735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1.225~5.436</w:t>
            </w:r>
          </w:p>
        </w:tc>
      </w:tr>
      <w:tr w14:paraId="7445B884">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nil"/>
              <w:left w:val="nil"/>
              <w:bottom w:val="nil"/>
              <w:right w:val="nil"/>
            </w:tcBorders>
            <w:tcMar>
              <w:top w:w="23" w:type="dxa"/>
              <w:left w:w="23" w:type="dxa"/>
              <w:bottom w:w="23" w:type="dxa"/>
              <w:right w:w="23" w:type="dxa"/>
            </w:tcMar>
            <w:vAlign w:val="center"/>
          </w:tcPr>
          <w:p w14:paraId="0ABA79DB">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S1P升高</w:t>
            </w:r>
          </w:p>
        </w:tc>
        <w:tc>
          <w:tcPr>
            <w:tcW w:w="351" w:type="pct"/>
            <w:tcBorders>
              <w:top w:val="nil"/>
              <w:left w:val="nil"/>
              <w:bottom w:val="nil"/>
              <w:right w:val="nil"/>
            </w:tcBorders>
            <w:tcMar>
              <w:top w:w="23" w:type="dxa"/>
              <w:left w:w="23" w:type="dxa"/>
              <w:bottom w:w="23" w:type="dxa"/>
              <w:right w:w="23" w:type="dxa"/>
            </w:tcMar>
            <w:vAlign w:val="center"/>
          </w:tcPr>
          <w:p w14:paraId="2EE16F19">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2.181</w:t>
            </w:r>
          </w:p>
        </w:tc>
        <w:tc>
          <w:tcPr>
            <w:tcW w:w="469" w:type="pct"/>
            <w:tcBorders>
              <w:top w:val="nil"/>
              <w:left w:val="nil"/>
              <w:bottom w:val="nil"/>
              <w:right w:val="nil"/>
            </w:tcBorders>
            <w:tcMar>
              <w:top w:w="23" w:type="dxa"/>
              <w:left w:w="23" w:type="dxa"/>
              <w:bottom w:w="23" w:type="dxa"/>
              <w:right w:w="23" w:type="dxa"/>
            </w:tcMar>
            <w:vAlign w:val="center"/>
          </w:tcPr>
          <w:p w14:paraId="196FCFD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0.086</w:t>
            </w:r>
          </w:p>
        </w:tc>
        <w:tc>
          <w:tcPr>
            <w:tcW w:w="422" w:type="pct"/>
            <w:tcBorders>
              <w:top w:val="nil"/>
              <w:left w:val="nil"/>
              <w:bottom w:val="nil"/>
              <w:right w:val="nil"/>
            </w:tcBorders>
            <w:tcMar>
              <w:top w:w="23" w:type="dxa"/>
              <w:left w:w="23" w:type="dxa"/>
              <w:bottom w:w="23" w:type="dxa"/>
              <w:right w:w="23" w:type="dxa"/>
            </w:tcMar>
            <w:vAlign w:val="center"/>
          </w:tcPr>
          <w:p w14:paraId="71849EE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0.027</w:t>
            </w:r>
          </w:p>
        </w:tc>
        <w:tc>
          <w:tcPr>
            <w:tcW w:w="644" w:type="pct"/>
            <w:tcBorders>
              <w:top w:val="nil"/>
              <w:left w:val="nil"/>
              <w:bottom w:val="nil"/>
              <w:right w:val="nil"/>
            </w:tcBorders>
            <w:tcMar>
              <w:top w:w="23" w:type="dxa"/>
              <w:left w:w="23" w:type="dxa"/>
              <w:bottom w:w="23" w:type="dxa"/>
              <w:right w:w="23" w:type="dxa"/>
            </w:tcMar>
            <w:vAlign w:val="center"/>
          </w:tcPr>
          <w:p w14:paraId="07D0E82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10.111</w:t>
            </w:r>
          </w:p>
        </w:tc>
        <w:tc>
          <w:tcPr>
            <w:tcW w:w="431" w:type="pct"/>
            <w:tcBorders>
              <w:top w:val="nil"/>
              <w:left w:val="nil"/>
              <w:bottom w:val="nil"/>
              <w:right w:val="nil"/>
            </w:tcBorders>
            <w:tcMar>
              <w:top w:w="23" w:type="dxa"/>
              <w:left w:w="23" w:type="dxa"/>
              <w:bottom w:w="23" w:type="dxa"/>
              <w:right w:w="23" w:type="dxa"/>
            </w:tcMar>
            <w:vAlign w:val="center"/>
          </w:tcPr>
          <w:p w14:paraId="7467BB5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0.001</w:t>
            </w:r>
          </w:p>
        </w:tc>
        <w:tc>
          <w:tcPr>
            <w:tcW w:w="431" w:type="pct"/>
            <w:tcBorders>
              <w:top w:val="nil"/>
              <w:left w:val="nil"/>
              <w:bottom w:val="nil"/>
              <w:right w:val="nil"/>
            </w:tcBorders>
            <w:tcMar>
              <w:top w:w="23" w:type="dxa"/>
              <w:left w:w="23" w:type="dxa"/>
              <w:bottom w:w="23" w:type="dxa"/>
              <w:right w:w="23" w:type="dxa"/>
            </w:tcMar>
            <w:vAlign w:val="center"/>
          </w:tcPr>
          <w:p w14:paraId="4A8A22B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1.090</w:t>
            </w:r>
          </w:p>
        </w:tc>
        <w:tc>
          <w:tcPr>
            <w:tcW w:w="748" w:type="pct"/>
            <w:tcBorders>
              <w:top w:val="nil"/>
              <w:left w:val="nil"/>
              <w:bottom w:val="nil"/>
              <w:right w:val="nil"/>
            </w:tcBorders>
            <w:tcMar>
              <w:top w:w="23" w:type="dxa"/>
              <w:left w:w="23" w:type="dxa"/>
              <w:bottom w:w="23" w:type="dxa"/>
              <w:right w:w="23" w:type="dxa"/>
            </w:tcMar>
            <w:vAlign w:val="center"/>
          </w:tcPr>
          <w:p w14:paraId="3063808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1.034~1.150</w:t>
            </w:r>
          </w:p>
        </w:tc>
      </w:tr>
      <w:tr w14:paraId="1BBD722D">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1502" w:type="pct"/>
            <w:tcBorders>
              <w:top w:val="nil"/>
              <w:left w:val="nil"/>
              <w:bottom w:val="single" w:color="000000" w:sz="6" w:space="0"/>
              <w:right w:val="nil"/>
            </w:tcBorders>
            <w:tcMar>
              <w:top w:w="23" w:type="dxa"/>
              <w:left w:w="23" w:type="dxa"/>
              <w:bottom w:w="23" w:type="dxa"/>
              <w:right w:w="23" w:type="dxa"/>
            </w:tcMar>
            <w:vAlign w:val="center"/>
          </w:tcPr>
          <w:p w14:paraId="31C4901F">
            <w:pPr>
              <w:pStyle w:val="47"/>
              <w:spacing w:line="360" w:lineRule="auto"/>
              <w:jc w:val="left"/>
              <w:rPr>
                <w:rFonts w:ascii="Times New Roman" w:hAnsi="Times New Roman" w:eastAsia="宋体" w:cs="Times New Roman"/>
                <w:color w:val="auto"/>
                <w:sz w:val="21"/>
              </w:rPr>
            </w:pPr>
            <w:r>
              <w:rPr>
                <w:rFonts w:ascii="Times New Roman" w:hAnsi="Times New Roman" w:eastAsia="宋体" w:cs="Times New Roman"/>
                <w:color w:val="auto"/>
                <w:sz w:val="21"/>
              </w:rPr>
              <w:t>常量</w:t>
            </w:r>
          </w:p>
        </w:tc>
        <w:tc>
          <w:tcPr>
            <w:tcW w:w="351" w:type="pct"/>
            <w:tcBorders>
              <w:top w:val="nil"/>
              <w:left w:val="nil"/>
              <w:bottom w:val="single" w:color="000000" w:sz="6" w:space="0"/>
              <w:right w:val="nil"/>
            </w:tcBorders>
            <w:tcMar>
              <w:top w:w="23" w:type="dxa"/>
              <w:left w:w="23" w:type="dxa"/>
              <w:bottom w:w="23" w:type="dxa"/>
              <w:right w:w="23" w:type="dxa"/>
            </w:tcMar>
            <w:vAlign w:val="center"/>
          </w:tcPr>
          <w:p w14:paraId="5CD9CBF4">
            <w:pPr>
              <w:pStyle w:val="47"/>
              <w:spacing w:line="360" w:lineRule="auto"/>
              <w:rPr>
                <w:rFonts w:ascii="Times New Roman" w:hAnsi="Times New Roman" w:eastAsia="宋体" w:cs="Times New Roman"/>
                <w:color w:val="auto"/>
                <w:sz w:val="21"/>
              </w:rPr>
            </w:pPr>
            <w:r>
              <w:rPr>
                <w:rFonts w:hint="eastAsia" w:eastAsia="宋体" w:cs="宋体"/>
                <w:color w:val="auto"/>
                <w:sz w:val="21"/>
              </w:rPr>
              <w:t>-</w:t>
            </w:r>
          </w:p>
        </w:tc>
        <w:tc>
          <w:tcPr>
            <w:tcW w:w="469" w:type="pct"/>
            <w:tcBorders>
              <w:top w:val="nil"/>
              <w:left w:val="nil"/>
              <w:bottom w:val="single" w:color="000000" w:sz="6" w:space="0"/>
              <w:right w:val="nil"/>
            </w:tcBorders>
            <w:tcMar>
              <w:top w:w="23" w:type="dxa"/>
              <w:left w:w="23" w:type="dxa"/>
              <w:bottom w:w="23" w:type="dxa"/>
              <w:right w:w="23" w:type="dxa"/>
            </w:tcMar>
            <w:vAlign w:val="center"/>
          </w:tcPr>
          <w:p w14:paraId="2A722F8D">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-37.361</w:t>
            </w:r>
          </w:p>
        </w:tc>
        <w:tc>
          <w:tcPr>
            <w:tcW w:w="422" w:type="pct"/>
            <w:tcBorders>
              <w:top w:val="nil"/>
              <w:left w:val="nil"/>
              <w:bottom w:val="single" w:color="000000" w:sz="6" w:space="0"/>
              <w:right w:val="nil"/>
            </w:tcBorders>
            <w:tcMar>
              <w:top w:w="23" w:type="dxa"/>
              <w:left w:w="23" w:type="dxa"/>
              <w:bottom w:w="23" w:type="dxa"/>
              <w:right w:w="23" w:type="dxa"/>
            </w:tcMar>
            <w:vAlign w:val="center"/>
          </w:tcPr>
          <w:p w14:paraId="7996FAE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10.172</w:t>
            </w:r>
          </w:p>
        </w:tc>
        <w:tc>
          <w:tcPr>
            <w:tcW w:w="644" w:type="pct"/>
            <w:tcBorders>
              <w:top w:val="nil"/>
              <w:left w:val="nil"/>
              <w:bottom w:val="single" w:color="000000" w:sz="6" w:space="0"/>
              <w:right w:val="nil"/>
            </w:tcBorders>
            <w:tcMar>
              <w:top w:w="23" w:type="dxa"/>
              <w:left w:w="23" w:type="dxa"/>
              <w:bottom w:w="23" w:type="dxa"/>
              <w:right w:w="23" w:type="dxa"/>
            </w:tcMar>
            <w:vAlign w:val="center"/>
          </w:tcPr>
          <w:p w14:paraId="30236E9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13.489</w:t>
            </w:r>
          </w:p>
        </w:tc>
        <w:tc>
          <w:tcPr>
            <w:tcW w:w="431" w:type="pct"/>
            <w:tcBorders>
              <w:top w:val="nil"/>
              <w:left w:val="nil"/>
              <w:bottom w:val="single" w:color="000000" w:sz="6" w:space="0"/>
              <w:right w:val="nil"/>
            </w:tcBorders>
            <w:tcMar>
              <w:top w:w="23" w:type="dxa"/>
              <w:left w:w="23" w:type="dxa"/>
              <w:bottom w:w="23" w:type="dxa"/>
              <w:right w:w="23" w:type="dxa"/>
            </w:tcMar>
            <w:vAlign w:val="center"/>
          </w:tcPr>
          <w:p w14:paraId="5A568393">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c>
          <w:tcPr>
            <w:tcW w:w="431" w:type="pct"/>
            <w:tcBorders>
              <w:top w:val="nil"/>
              <w:left w:val="nil"/>
              <w:bottom w:val="single" w:color="000000" w:sz="6" w:space="0"/>
              <w:right w:val="nil"/>
            </w:tcBorders>
            <w:tcMar>
              <w:top w:w="23" w:type="dxa"/>
              <w:left w:w="23" w:type="dxa"/>
              <w:bottom w:w="23" w:type="dxa"/>
              <w:right w:w="23" w:type="dxa"/>
            </w:tcMar>
            <w:vAlign w:val="center"/>
          </w:tcPr>
          <w:p w14:paraId="44028DB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c>
          <w:tcPr>
            <w:tcW w:w="748" w:type="pct"/>
            <w:tcBorders>
              <w:top w:val="nil"/>
              <w:left w:val="nil"/>
              <w:bottom w:val="single" w:color="000000" w:sz="6" w:space="0"/>
              <w:right w:val="nil"/>
            </w:tcBorders>
            <w:tcMar>
              <w:top w:w="23" w:type="dxa"/>
              <w:left w:w="23" w:type="dxa"/>
              <w:bottom w:w="23" w:type="dxa"/>
              <w:right w:w="23" w:type="dxa"/>
            </w:tcMar>
            <w:vAlign w:val="center"/>
          </w:tcPr>
          <w:p w14:paraId="3104AF14">
            <w:pPr>
              <w:pStyle w:val="47"/>
              <w:spacing w:line="360" w:lineRule="auto"/>
              <w:rPr>
                <w:rFonts w:ascii="Times New Roman" w:hAnsi="Times New Roman" w:eastAsia="宋体" w:cs="Times New Roman"/>
                <w:color w:val="auto"/>
                <w:sz w:val="21"/>
              </w:rPr>
            </w:pPr>
            <w:r>
              <w:rPr>
                <w:rFonts w:hint="eastAsia" w:eastAsia="宋体" w:cs="宋体"/>
                <w:color w:val="auto"/>
                <w:sz w:val="21"/>
              </w:rPr>
              <w:t>-</w:t>
            </w:r>
          </w:p>
        </w:tc>
      </w:tr>
    </w:tbl>
    <w:p w14:paraId="3B860FFC">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注：VIF为方差膨胀因子；GCS为格拉斯哥昏迷评分；NIHSS为美国国立卫生研究院卒中量表；VE-cadherin为血管内皮钙黏蛋白；S1P为1-磷酸鞘氨酸</w:t>
      </w:r>
    </w:p>
    <w:p w14:paraId="4DD1EF01">
      <w:pPr>
        <w:pStyle w:val="39"/>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七、血清VE-cadherin、S1P水平对HICH患者短期预后的预测效能</w:t>
      </w:r>
    </w:p>
    <w:p w14:paraId="09CADE38">
      <w:pPr>
        <w:pStyle w:val="29"/>
        <w:spacing w:line="360" w:lineRule="auto"/>
        <w:ind w:firstLine="420"/>
        <w:rPr>
          <w:rFonts w:ascii="Times New Roman" w:hAnsi="Times New Roman" w:cs="Times New Roman"/>
          <w:color w:val="auto"/>
        </w:rPr>
      </w:pPr>
      <w:r>
        <w:rPr>
          <w:rFonts w:ascii="Times New Roman" w:hAnsi="Times New Roman" w:cs="Times New Roman"/>
          <w:color w:val="auto"/>
        </w:rPr>
        <w:t>通过Logistic回归拟合血清VE-cadherin、S1P水平联合预测HICH患者短期预后的概率[</w:t>
      </w:r>
      <w:r>
        <w:rPr>
          <w:rFonts w:ascii="Times New Roman" w:hAnsi="Times New Roman" w:cs="Times New Roman"/>
          <w:i/>
          <w:color w:val="auto"/>
        </w:rPr>
        <w:t>Logit</w:t>
      </w:r>
      <w:r>
        <w:rPr>
          <w:rFonts w:ascii="Times New Roman" w:hAnsi="Times New Roman" w:cs="Times New Roman"/>
          <w:color w:val="auto"/>
        </w:rPr>
        <w:t>（</w:t>
      </w:r>
      <w:r>
        <w:rPr>
          <w:rFonts w:ascii="Times New Roman" w:hAnsi="Times New Roman" w:cs="Times New Roman"/>
          <w:i/>
          <w:color w:val="auto"/>
        </w:rPr>
        <w:t>P</w:t>
      </w:r>
      <w:r>
        <w:rPr>
          <w:rFonts w:ascii="Times New Roman" w:hAnsi="Times New Roman" w:cs="Times New Roman"/>
          <w:color w:val="auto"/>
        </w:rPr>
        <w:t>）＝</w:t>
      </w:r>
      <w:r>
        <w:rPr>
          <w:rFonts w:ascii="Times New Roman" w:hAnsi="Times New Roman" w:cs="Times New Roman"/>
          <w:color w:val="auto"/>
        </w:rPr>
        <w:t>0.948×VE-cadherin+0.086×S1P</w:t>
      </w:r>
      <w:r>
        <w:rPr>
          <w:rFonts w:ascii="Times New Roman" w:hAnsi="Times New Roman" w:cs="Times New Roman"/>
          <w:color w:val="auto"/>
        </w:rPr>
        <w:t>]。ROC曲线显示：血清VE-cadherin、S1P水平及二者联合预测HICH患者短期预后的曲线下面积分别为0.832、0.820和0.908，敏感度分别为0.557、0.656和0.853，特异度分别为0.959、0.849和0.808，二者联合的预测效能优于血清VE-cadherin、S1P水平单独预测效能（</w:t>
      </w:r>
      <w:r>
        <w:rPr>
          <w:rFonts w:ascii="Times New Roman" w:hAnsi="Times New Roman" w:cs="Times New Roman"/>
          <w:i/>
          <w:color w:val="auto"/>
        </w:rPr>
        <w:t>Z</w:t>
      </w:r>
      <w:r>
        <w:rPr>
          <w:rFonts w:ascii="Times New Roman" w:hAnsi="Times New Roman" w:cs="Times New Roman"/>
          <w:color w:val="auto"/>
        </w:rPr>
        <w:t>＝2.921、3.107，</w:t>
      </w:r>
      <w:r>
        <w:rPr>
          <w:rFonts w:ascii="Times New Roman" w:hAnsi="Times New Roman" w:cs="Times New Roman"/>
          <w:i/>
          <w:color w:val="auto"/>
        </w:rPr>
        <w:t>P</w:t>
      </w:r>
      <w:r>
        <w:rPr>
          <w:rFonts w:ascii="Times New Roman" w:hAnsi="Times New Roman" w:cs="Times New Roman"/>
          <w:color w:val="auto"/>
        </w:rPr>
        <w:t>＝0.004、0.002，表6和图2）。</w:t>
      </w:r>
    </w:p>
    <w:p w14:paraId="06D4F843">
      <w:pPr>
        <w:pStyle w:val="45"/>
        <w:spacing w:line="360" w:lineRule="auto"/>
        <w:ind w:firstLine="0" w:firstLineChars="0"/>
        <w:jc w:val="center"/>
        <w:rPr>
          <w:rFonts w:ascii="Times New Roman" w:hAnsi="Times New Roman" w:eastAsia="宋体" w:cs="Times New Roman"/>
          <w:color w:val="auto"/>
        </w:rPr>
      </w:pPr>
    </w:p>
    <w:p w14:paraId="46BBD08D">
      <w:pPr>
        <w:pStyle w:val="45"/>
        <w:spacing w:line="360" w:lineRule="auto"/>
        <w:ind w:firstLine="0" w:firstLineChars="0"/>
        <w:jc w:val="center"/>
        <w:rPr>
          <w:rFonts w:ascii="Times New Roman" w:hAnsi="Times New Roman" w:eastAsia="宋体" w:cs="Times New Roman"/>
          <w:color w:val="auto"/>
        </w:rPr>
      </w:pPr>
      <w:r>
        <w:rPr>
          <w:rFonts w:ascii="Times New Roman" w:hAnsi="Times New Roman" w:eastAsia="宋体" w:cs="Times New Roman"/>
          <w:b/>
          <w:bCs/>
          <w:color w:val="auto"/>
        </w:rPr>
        <w:t>表6</w:t>
      </w:r>
      <w:r>
        <w:rPr>
          <w:rFonts w:ascii="Times New Roman" w:hAnsi="Times New Roman" w:eastAsia="宋体" w:cs="Times New Roman"/>
          <w:color w:val="auto"/>
        </w:rPr>
        <w:t xml:space="preserve">  血清VE-cadherin、S1P水平对高血压脑出血患者短期预后的预测效能</w:t>
      </w:r>
    </w:p>
    <w:tbl>
      <w:tblPr>
        <w:tblStyle w:val="11"/>
        <w:tblW w:w="4997" w:type="pct"/>
        <w:jc w:val="center"/>
        <w:tblBorders>
          <w:top w:val="single" w:color="000000" w:sz="6" w:space="0"/>
          <w:left w:val="none" w:color="auto" w:sz="0" w:space="0"/>
          <w:bottom w:val="single" w:color="000000"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08"/>
        <w:gridCol w:w="1379"/>
        <w:gridCol w:w="1389"/>
        <w:gridCol w:w="801"/>
        <w:gridCol w:w="1467"/>
        <w:gridCol w:w="850"/>
        <w:gridCol w:w="850"/>
        <w:gridCol w:w="1643"/>
      </w:tblGrid>
      <w:tr w14:paraId="7CAA6324">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71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2E3C92A1">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指标</w:t>
            </w:r>
            <w:bookmarkStart w:id="8" w:name="FX_TBL_ID800002C9"/>
            <w:bookmarkEnd w:id="8"/>
          </w:p>
        </w:tc>
        <w:tc>
          <w:tcPr>
            <w:tcW w:w="704"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64D2096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曲线下面积</w:t>
            </w:r>
          </w:p>
        </w:tc>
        <w:tc>
          <w:tcPr>
            <w:tcW w:w="70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68C0536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95%CI</w:t>
            </w:r>
          </w:p>
        </w:tc>
        <w:tc>
          <w:tcPr>
            <w:tcW w:w="40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354C1765">
            <w:pPr>
              <w:pStyle w:val="47"/>
              <w:spacing w:line="360" w:lineRule="auto"/>
              <w:rPr>
                <w:rFonts w:ascii="Times New Roman" w:hAnsi="Times New Roman" w:eastAsia="宋体" w:cs="Times New Roman"/>
                <w:iCs/>
                <w:color w:val="auto"/>
                <w:sz w:val="21"/>
              </w:rPr>
            </w:pPr>
            <w:r>
              <w:rPr>
                <w:rFonts w:ascii="Times New Roman" w:hAnsi="Times New Roman" w:eastAsia="宋体" w:cs="Times New Roman"/>
                <w:i/>
                <w:color w:val="auto"/>
                <w:sz w:val="21"/>
              </w:rPr>
              <w:t>P</w:t>
            </w:r>
            <w:r>
              <w:rPr>
                <w:rFonts w:ascii="Times New Roman" w:hAnsi="Times New Roman" w:eastAsia="宋体" w:cs="Times New Roman"/>
                <w:iCs/>
                <w:color w:val="auto"/>
                <w:sz w:val="21"/>
              </w:rPr>
              <w:t>值</w:t>
            </w:r>
          </w:p>
        </w:tc>
        <w:tc>
          <w:tcPr>
            <w:tcW w:w="74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432A3F0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截断值</w:t>
            </w:r>
          </w:p>
        </w:tc>
        <w:tc>
          <w:tcPr>
            <w:tcW w:w="434"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46C0D85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敏感度</w:t>
            </w:r>
          </w:p>
        </w:tc>
        <w:tc>
          <w:tcPr>
            <w:tcW w:w="434"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6F396C68">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特异度</w:t>
            </w:r>
          </w:p>
        </w:tc>
        <w:tc>
          <w:tcPr>
            <w:tcW w:w="839" w:type="pct"/>
            <w:tcBorders>
              <w:top w:val="single" w:color="000000" w:sz="6" w:space="0"/>
              <w:left w:val="nil"/>
              <w:bottom w:val="single" w:color="000000" w:sz="2" w:space="0"/>
              <w:right w:val="nil"/>
            </w:tcBorders>
            <w:tcMar>
              <w:top w:w="23" w:type="dxa"/>
              <w:left w:w="23" w:type="dxa"/>
              <w:bottom w:w="23" w:type="dxa"/>
              <w:right w:w="23" w:type="dxa"/>
            </w:tcMar>
            <w:vAlign w:val="center"/>
          </w:tcPr>
          <w:p w14:paraId="0900BEF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最大约登指数</w:t>
            </w:r>
          </w:p>
        </w:tc>
      </w:tr>
      <w:tr w14:paraId="65D51C2F">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719" w:type="pct"/>
            <w:tcBorders>
              <w:top w:val="single" w:color="000000" w:sz="2" w:space="0"/>
              <w:left w:val="nil"/>
              <w:bottom w:val="nil"/>
              <w:right w:val="nil"/>
            </w:tcBorders>
            <w:tcMar>
              <w:top w:w="23" w:type="dxa"/>
              <w:left w:w="23" w:type="dxa"/>
              <w:bottom w:w="23" w:type="dxa"/>
              <w:right w:w="23" w:type="dxa"/>
            </w:tcMar>
            <w:vAlign w:val="center"/>
          </w:tcPr>
          <w:p w14:paraId="2FAA476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VE-cadherin</w:t>
            </w:r>
          </w:p>
        </w:tc>
        <w:tc>
          <w:tcPr>
            <w:tcW w:w="704" w:type="pct"/>
            <w:tcBorders>
              <w:top w:val="single" w:color="000000" w:sz="2" w:space="0"/>
              <w:left w:val="nil"/>
              <w:bottom w:val="nil"/>
              <w:right w:val="nil"/>
            </w:tcBorders>
            <w:tcMar>
              <w:top w:w="23" w:type="dxa"/>
              <w:left w:w="23" w:type="dxa"/>
              <w:bottom w:w="23" w:type="dxa"/>
              <w:right w:w="23" w:type="dxa"/>
            </w:tcMar>
            <w:vAlign w:val="center"/>
          </w:tcPr>
          <w:p w14:paraId="32810BE9">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0.832</w:t>
            </w:r>
          </w:p>
        </w:tc>
        <w:tc>
          <w:tcPr>
            <w:tcW w:w="709" w:type="pct"/>
            <w:tcBorders>
              <w:top w:val="single" w:color="000000" w:sz="2" w:space="0"/>
              <w:left w:val="nil"/>
              <w:bottom w:val="nil"/>
              <w:right w:val="nil"/>
            </w:tcBorders>
            <w:tcMar>
              <w:top w:w="23" w:type="dxa"/>
              <w:left w:w="23" w:type="dxa"/>
              <w:bottom w:w="23" w:type="dxa"/>
              <w:right w:w="23" w:type="dxa"/>
            </w:tcMar>
            <w:vAlign w:val="center"/>
          </w:tcPr>
          <w:p w14:paraId="1BB2C1E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0.758~0.891</w:t>
            </w:r>
          </w:p>
        </w:tc>
        <w:tc>
          <w:tcPr>
            <w:tcW w:w="409" w:type="pct"/>
            <w:tcBorders>
              <w:top w:val="single" w:color="000000" w:sz="2" w:space="0"/>
              <w:left w:val="nil"/>
              <w:bottom w:val="nil"/>
              <w:right w:val="nil"/>
            </w:tcBorders>
            <w:tcMar>
              <w:top w:w="23" w:type="dxa"/>
              <w:left w:w="23" w:type="dxa"/>
              <w:bottom w:w="23" w:type="dxa"/>
              <w:right w:w="23" w:type="dxa"/>
            </w:tcMar>
            <w:vAlign w:val="center"/>
          </w:tcPr>
          <w:p w14:paraId="33C5E07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c>
          <w:tcPr>
            <w:tcW w:w="749" w:type="pct"/>
            <w:tcBorders>
              <w:top w:val="single" w:color="000000" w:sz="2" w:space="0"/>
              <w:left w:val="nil"/>
              <w:bottom w:val="nil"/>
              <w:right w:val="nil"/>
            </w:tcBorders>
            <w:tcMar>
              <w:top w:w="23" w:type="dxa"/>
              <w:left w:w="23" w:type="dxa"/>
              <w:bottom w:w="23" w:type="dxa"/>
              <w:right w:w="23" w:type="dxa"/>
            </w:tcMar>
            <w:vAlign w:val="center"/>
          </w:tcPr>
          <w:p w14:paraId="493FE587">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6.76 mg/L</w:t>
            </w:r>
          </w:p>
        </w:tc>
        <w:tc>
          <w:tcPr>
            <w:tcW w:w="434" w:type="pct"/>
            <w:tcBorders>
              <w:top w:val="single" w:color="000000" w:sz="2" w:space="0"/>
              <w:left w:val="nil"/>
              <w:bottom w:val="nil"/>
              <w:right w:val="nil"/>
            </w:tcBorders>
            <w:tcMar>
              <w:top w:w="23" w:type="dxa"/>
              <w:left w:w="23" w:type="dxa"/>
              <w:bottom w:w="23" w:type="dxa"/>
              <w:right w:w="23" w:type="dxa"/>
            </w:tcMar>
            <w:vAlign w:val="center"/>
          </w:tcPr>
          <w:p w14:paraId="335558C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0.557</w:t>
            </w:r>
          </w:p>
        </w:tc>
        <w:tc>
          <w:tcPr>
            <w:tcW w:w="434" w:type="pct"/>
            <w:tcBorders>
              <w:top w:val="single" w:color="000000" w:sz="2" w:space="0"/>
              <w:left w:val="nil"/>
              <w:bottom w:val="nil"/>
              <w:right w:val="nil"/>
            </w:tcBorders>
            <w:tcMar>
              <w:top w:w="23" w:type="dxa"/>
              <w:left w:w="23" w:type="dxa"/>
              <w:bottom w:w="23" w:type="dxa"/>
              <w:right w:w="23" w:type="dxa"/>
            </w:tcMar>
            <w:vAlign w:val="center"/>
          </w:tcPr>
          <w:p w14:paraId="6C3B202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0.959</w:t>
            </w:r>
          </w:p>
        </w:tc>
        <w:tc>
          <w:tcPr>
            <w:tcW w:w="839" w:type="pct"/>
            <w:tcBorders>
              <w:top w:val="single" w:color="000000" w:sz="2" w:space="0"/>
              <w:left w:val="nil"/>
              <w:bottom w:val="nil"/>
              <w:right w:val="nil"/>
            </w:tcBorders>
            <w:tcMar>
              <w:top w:w="23" w:type="dxa"/>
              <w:left w:w="23" w:type="dxa"/>
              <w:bottom w:w="23" w:type="dxa"/>
              <w:right w:w="23" w:type="dxa"/>
            </w:tcMar>
            <w:vAlign w:val="center"/>
          </w:tcPr>
          <w:p w14:paraId="334E81C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0.516</w:t>
            </w:r>
          </w:p>
        </w:tc>
      </w:tr>
      <w:tr w14:paraId="56611F08">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719" w:type="pct"/>
            <w:tcBorders>
              <w:top w:val="nil"/>
              <w:left w:val="nil"/>
              <w:bottom w:val="nil"/>
              <w:right w:val="nil"/>
            </w:tcBorders>
            <w:tcMar>
              <w:top w:w="23" w:type="dxa"/>
              <w:left w:w="23" w:type="dxa"/>
              <w:bottom w:w="23" w:type="dxa"/>
              <w:right w:w="23" w:type="dxa"/>
            </w:tcMar>
            <w:vAlign w:val="center"/>
          </w:tcPr>
          <w:p w14:paraId="3BA72B1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S1P</w:t>
            </w:r>
          </w:p>
        </w:tc>
        <w:tc>
          <w:tcPr>
            <w:tcW w:w="704" w:type="pct"/>
            <w:tcBorders>
              <w:top w:val="nil"/>
              <w:left w:val="nil"/>
              <w:bottom w:val="nil"/>
              <w:right w:val="nil"/>
            </w:tcBorders>
            <w:tcMar>
              <w:top w:w="23" w:type="dxa"/>
              <w:left w:w="23" w:type="dxa"/>
              <w:bottom w:w="23" w:type="dxa"/>
              <w:right w:w="23" w:type="dxa"/>
            </w:tcMar>
            <w:vAlign w:val="center"/>
          </w:tcPr>
          <w:p w14:paraId="172BE58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0.820</w:t>
            </w:r>
          </w:p>
        </w:tc>
        <w:tc>
          <w:tcPr>
            <w:tcW w:w="709" w:type="pct"/>
            <w:tcBorders>
              <w:top w:val="nil"/>
              <w:left w:val="nil"/>
              <w:bottom w:val="nil"/>
              <w:right w:val="nil"/>
            </w:tcBorders>
            <w:tcMar>
              <w:top w:w="23" w:type="dxa"/>
              <w:left w:w="23" w:type="dxa"/>
              <w:bottom w:w="23" w:type="dxa"/>
              <w:right w:w="23" w:type="dxa"/>
            </w:tcMar>
            <w:vAlign w:val="center"/>
          </w:tcPr>
          <w:p w14:paraId="0A11F272">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0.744~0.881</w:t>
            </w:r>
          </w:p>
        </w:tc>
        <w:tc>
          <w:tcPr>
            <w:tcW w:w="409" w:type="pct"/>
            <w:tcBorders>
              <w:top w:val="nil"/>
              <w:left w:val="nil"/>
              <w:bottom w:val="nil"/>
              <w:right w:val="nil"/>
            </w:tcBorders>
            <w:tcMar>
              <w:top w:w="23" w:type="dxa"/>
              <w:left w:w="23" w:type="dxa"/>
              <w:bottom w:w="23" w:type="dxa"/>
              <w:right w:w="23" w:type="dxa"/>
            </w:tcMar>
            <w:vAlign w:val="center"/>
          </w:tcPr>
          <w:p w14:paraId="6D8EB6E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c>
          <w:tcPr>
            <w:tcW w:w="749" w:type="pct"/>
            <w:tcBorders>
              <w:top w:val="nil"/>
              <w:left w:val="nil"/>
              <w:bottom w:val="nil"/>
              <w:right w:val="nil"/>
            </w:tcBorders>
            <w:tcMar>
              <w:top w:w="23" w:type="dxa"/>
              <w:left w:w="23" w:type="dxa"/>
              <w:bottom w:w="23" w:type="dxa"/>
              <w:right w:w="23" w:type="dxa"/>
            </w:tcMar>
            <w:vAlign w:val="center"/>
          </w:tcPr>
          <w:p w14:paraId="170CDF8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303.89 ng/mL</w:t>
            </w:r>
          </w:p>
        </w:tc>
        <w:tc>
          <w:tcPr>
            <w:tcW w:w="434" w:type="pct"/>
            <w:tcBorders>
              <w:top w:val="nil"/>
              <w:left w:val="nil"/>
              <w:bottom w:val="nil"/>
              <w:right w:val="nil"/>
            </w:tcBorders>
            <w:tcMar>
              <w:top w:w="23" w:type="dxa"/>
              <w:left w:w="23" w:type="dxa"/>
              <w:bottom w:w="23" w:type="dxa"/>
              <w:right w:w="23" w:type="dxa"/>
            </w:tcMar>
            <w:vAlign w:val="center"/>
          </w:tcPr>
          <w:p w14:paraId="63E7ABFC">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0.656</w:t>
            </w:r>
          </w:p>
        </w:tc>
        <w:tc>
          <w:tcPr>
            <w:tcW w:w="434" w:type="pct"/>
            <w:tcBorders>
              <w:top w:val="nil"/>
              <w:left w:val="nil"/>
              <w:bottom w:val="nil"/>
              <w:right w:val="nil"/>
            </w:tcBorders>
            <w:tcMar>
              <w:top w:w="23" w:type="dxa"/>
              <w:left w:w="23" w:type="dxa"/>
              <w:bottom w:w="23" w:type="dxa"/>
              <w:right w:w="23" w:type="dxa"/>
            </w:tcMar>
            <w:vAlign w:val="center"/>
          </w:tcPr>
          <w:p w14:paraId="49BDC501">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0.849</w:t>
            </w:r>
          </w:p>
        </w:tc>
        <w:tc>
          <w:tcPr>
            <w:tcW w:w="839" w:type="pct"/>
            <w:tcBorders>
              <w:top w:val="nil"/>
              <w:left w:val="nil"/>
              <w:bottom w:val="nil"/>
              <w:right w:val="nil"/>
            </w:tcBorders>
            <w:tcMar>
              <w:top w:w="23" w:type="dxa"/>
              <w:left w:w="23" w:type="dxa"/>
              <w:bottom w:w="23" w:type="dxa"/>
              <w:right w:w="23" w:type="dxa"/>
            </w:tcMar>
            <w:vAlign w:val="center"/>
          </w:tcPr>
          <w:p w14:paraId="103B84C4">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0.505</w:t>
            </w:r>
          </w:p>
        </w:tc>
      </w:tr>
      <w:tr w14:paraId="077A7E26">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jc w:val="center"/>
        </w:trPr>
        <w:tc>
          <w:tcPr>
            <w:tcW w:w="719" w:type="pct"/>
            <w:tcBorders>
              <w:top w:val="nil"/>
              <w:left w:val="nil"/>
              <w:bottom w:val="single" w:color="000000" w:sz="6" w:space="0"/>
              <w:right w:val="nil"/>
            </w:tcBorders>
            <w:tcMar>
              <w:top w:w="23" w:type="dxa"/>
              <w:left w:w="23" w:type="dxa"/>
              <w:bottom w:w="23" w:type="dxa"/>
              <w:right w:w="23" w:type="dxa"/>
            </w:tcMar>
            <w:vAlign w:val="center"/>
          </w:tcPr>
          <w:p w14:paraId="66F048DA">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二者联合</w:t>
            </w:r>
          </w:p>
        </w:tc>
        <w:tc>
          <w:tcPr>
            <w:tcW w:w="704" w:type="pct"/>
            <w:tcBorders>
              <w:top w:val="nil"/>
              <w:left w:val="nil"/>
              <w:bottom w:val="single" w:color="000000" w:sz="6" w:space="0"/>
              <w:right w:val="nil"/>
            </w:tcBorders>
            <w:tcMar>
              <w:top w:w="23" w:type="dxa"/>
              <w:left w:w="23" w:type="dxa"/>
              <w:bottom w:w="23" w:type="dxa"/>
              <w:right w:w="23" w:type="dxa"/>
            </w:tcMar>
            <w:vAlign w:val="center"/>
          </w:tcPr>
          <w:p w14:paraId="2B27AFF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0.908</w:t>
            </w:r>
          </w:p>
        </w:tc>
        <w:tc>
          <w:tcPr>
            <w:tcW w:w="709" w:type="pct"/>
            <w:tcBorders>
              <w:top w:val="nil"/>
              <w:left w:val="nil"/>
              <w:bottom w:val="single" w:color="000000" w:sz="6" w:space="0"/>
              <w:right w:val="nil"/>
            </w:tcBorders>
            <w:tcMar>
              <w:top w:w="23" w:type="dxa"/>
              <w:left w:w="23" w:type="dxa"/>
              <w:bottom w:w="23" w:type="dxa"/>
              <w:right w:w="23" w:type="dxa"/>
            </w:tcMar>
            <w:vAlign w:val="center"/>
          </w:tcPr>
          <w:p w14:paraId="2C961EE6">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0.846~0.951</w:t>
            </w:r>
          </w:p>
        </w:tc>
        <w:tc>
          <w:tcPr>
            <w:tcW w:w="409" w:type="pct"/>
            <w:tcBorders>
              <w:top w:val="nil"/>
              <w:left w:val="nil"/>
              <w:bottom w:val="single" w:color="000000" w:sz="6" w:space="0"/>
              <w:right w:val="nil"/>
            </w:tcBorders>
            <w:tcMar>
              <w:top w:w="23" w:type="dxa"/>
              <w:left w:w="23" w:type="dxa"/>
              <w:bottom w:w="23" w:type="dxa"/>
              <w:right w:w="23" w:type="dxa"/>
            </w:tcMar>
            <w:vAlign w:val="center"/>
          </w:tcPr>
          <w:p w14:paraId="162C2FAE">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&lt;0.001</w:t>
            </w:r>
          </w:p>
        </w:tc>
        <w:tc>
          <w:tcPr>
            <w:tcW w:w="749" w:type="pct"/>
            <w:tcBorders>
              <w:top w:val="nil"/>
              <w:left w:val="nil"/>
              <w:bottom w:val="single" w:color="000000" w:sz="6" w:space="0"/>
              <w:right w:val="nil"/>
            </w:tcBorders>
            <w:tcMar>
              <w:top w:w="23" w:type="dxa"/>
              <w:left w:w="23" w:type="dxa"/>
              <w:bottom w:w="23" w:type="dxa"/>
              <w:right w:w="23" w:type="dxa"/>
            </w:tcMar>
            <w:vAlign w:val="center"/>
          </w:tcPr>
          <w:p w14:paraId="382DDCAF">
            <w:pPr>
              <w:pStyle w:val="47"/>
              <w:spacing w:line="360" w:lineRule="auto"/>
              <w:rPr>
                <w:rFonts w:ascii="Times New Roman" w:hAnsi="Times New Roman" w:eastAsia="宋体" w:cs="Times New Roman"/>
                <w:color w:val="auto"/>
                <w:sz w:val="21"/>
              </w:rPr>
            </w:pPr>
            <w:r>
              <w:rPr>
                <w:rFonts w:hint="eastAsia" w:eastAsia="宋体" w:cs="宋体"/>
                <w:color w:val="auto"/>
                <w:sz w:val="21"/>
              </w:rPr>
              <w:t>-</w:t>
            </w:r>
          </w:p>
        </w:tc>
        <w:tc>
          <w:tcPr>
            <w:tcW w:w="434" w:type="pct"/>
            <w:tcBorders>
              <w:top w:val="nil"/>
              <w:left w:val="nil"/>
              <w:bottom w:val="single" w:color="000000" w:sz="6" w:space="0"/>
              <w:right w:val="nil"/>
            </w:tcBorders>
            <w:tcMar>
              <w:top w:w="23" w:type="dxa"/>
              <w:left w:w="23" w:type="dxa"/>
              <w:bottom w:w="23" w:type="dxa"/>
              <w:right w:w="23" w:type="dxa"/>
            </w:tcMar>
            <w:vAlign w:val="center"/>
          </w:tcPr>
          <w:p w14:paraId="5278016F">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0.853</w:t>
            </w:r>
          </w:p>
        </w:tc>
        <w:tc>
          <w:tcPr>
            <w:tcW w:w="434" w:type="pct"/>
            <w:tcBorders>
              <w:top w:val="nil"/>
              <w:left w:val="nil"/>
              <w:bottom w:val="single" w:color="000000" w:sz="6" w:space="0"/>
              <w:right w:val="nil"/>
            </w:tcBorders>
            <w:tcMar>
              <w:top w:w="23" w:type="dxa"/>
              <w:left w:w="23" w:type="dxa"/>
              <w:bottom w:w="23" w:type="dxa"/>
              <w:right w:w="23" w:type="dxa"/>
            </w:tcMar>
            <w:vAlign w:val="center"/>
          </w:tcPr>
          <w:p w14:paraId="60DBF3B0">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0.808</w:t>
            </w:r>
          </w:p>
        </w:tc>
        <w:tc>
          <w:tcPr>
            <w:tcW w:w="839" w:type="pct"/>
            <w:tcBorders>
              <w:top w:val="nil"/>
              <w:left w:val="nil"/>
              <w:bottom w:val="single" w:color="000000" w:sz="6" w:space="0"/>
              <w:right w:val="nil"/>
            </w:tcBorders>
            <w:tcMar>
              <w:top w:w="23" w:type="dxa"/>
              <w:left w:w="23" w:type="dxa"/>
              <w:bottom w:w="23" w:type="dxa"/>
              <w:right w:w="23" w:type="dxa"/>
            </w:tcMar>
            <w:vAlign w:val="center"/>
          </w:tcPr>
          <w:p w14:paraId="71208425">
            <w:pPr>
              <w:pStyle w:val="47"/>
              <w:spacing w:line="360" w:lineRule="auto"/>
              <w:rPr>
                <w:rFonts w:ascii="Times New Roman" w:hAnsi="Times New Roman" w:eastAsia="宋体" w:cs="Times New Roman"/>
                <w:color w:val="auto"/>
                <w:sz w:val="21"/>
              </w:rPr>
            </w:pPr>
            <w:r>
              <w:rPr>
                <w:rFonts w:ascii="Times New Roman" w:hAnsi="Times New Roman" w:eastAsia="宋体" w:cs="Times New Roman"/>
                <w:color w:val="auto"/>
                <w:sz w:val="21"/>
              </w:rPr>
              <w:t>0.661</w:t>
            </w:r>
          </w:p>
        </w:tc>
      </w:tr>
    </w:tbl>
    <w:p w14:paraId="5D01D26B">
      <w:pPr>
        <w:spacing w:line="360" w:lineRule="auto"/>
        <w:ind w:firstLine="420" w:firstLineChars="200"/>
        <w:jc w:val="both"/>
        <w:rPr>
          <w:rFonts w:ascii="Times New Roman" w:eastAsia="宋体" w:cs="Times New Roman"/>
          <w:color w:val="auto"/>
          <w:sz w:val="21"/>
        </w:rPr>
      </w:pPr>
      <w:r>
        <w:rPr>
          <w:rFonts w:ascii="Times New Roman" w:eastAsia="宋体" w:cs="Times New Roman"/>
          <w:color w:val="auto"/>
          <w:sz w:val="21"/>
        </w:rPr>
        <w:t>注：VE-cadherin为血管内皮钙黏蛋白；S1P为1-磷酸鞘氨酸</w:t>
      </w:r>
    </w:p>
    <w:p w14:paraId="01463147">
      <w:pPr>
        <w:spacing w:line="360" w:lineRule="auto"/>
        <w:jc w:val="center"/>
        <w:rPr>
          <w:rFonts w:ascii="Times New Roman" w:eastAsia="宋体" w:cs="Times New Roman"/>
          <w:color w:val="auto"/>
          <w:sz w:val="21"/>
        </w:rPr>
      </w:pPr>
      <w:r>
        <w:rPr>
          <w:rFonts w:ascii="Times New Roman" w:eastAsia="宋体" w:cs="Times New Roman"/>
          <w:color w:val="auto"/>
          <w:sz w:val="21"/>
        </w:rPr>
        <w:drawing>
          <wp:inline distT="0" distB="0" distL="0" distR="0">
            <wp:extent cx="2724150" cy="2607945"/>
            <wp:effectExtent l="0" t="0" r="0" b="1905"/>
            <wp:docPr id="13584712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471259" name="图片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2729081" cy="2612951"/>
                    </a:xfrm>
                    <a:prstGeom prst="rect">
                      <a:avLst/>
                    </a:prstGeom>
                    <a:noFill/>
                    <a:ln>
                      <a:noFill/>
                    </a:ln>
                  </pic:spPr>
                </pic:pic>
              </a:graphicData>
            </a:graphic>
          </wp:inline>
        </w:drawing>
      </w:r>
    </w:p>
    <w:p w14:paraId="7F3D4FF4">
      <w:pPr>
        <w:pStyle w:val="53"/>
        <w:spacing w:line="360" w:lineRule="auto"/>
        <w:rPr>
          <w:rFonts w:ascii="Times New Roman" w:hAnsi="Times New Roman" w:eastAsia="宋体" w:cs="Times New Roman"/>
          <w:color w:val="auto"/>
        </w:rPr>
      </w:pPr>
      <w:r>
        <w:rPr>
          <w:rFonts w:ascii="Times New Roman" w:hAnsi="Times New Roman" w:eastAsia="宋体" w:cs="Times New Roman"/>
          <w:color w:val="auto"/>
        </w:rPr>
        <w:t>注：实线表示各指标单独预测高血压脑出血患者不良预后的受试者操作特征（ROC）曲线，阴影区域表示95%CI</w:t>
      </w:r>
    </w:p>
    <w:p w14:paraId="7CDD307B">
      <w:pPr>
        <w:pStyle w:val="53"/>
        <w:spacing w:line="360" w:lineRule="auto"/>
        <w:rPr>
          <w:rFonts w:ascii="Times New Roman" w:hAnsi="Times New Roman" w:eastAsia="宋体" w:cs="Times New Roman"/>
          <w:color w:val="auto"/>
        </w:rPr>
      </w:pPr>
      <w:r>
        <w:rPr>
          <w:rFonts w:ascii="Times New Roman" w:hAnsi="Times New Roman" w:eastAsia="宋体" w:cs="Times New Roman"/>
          <w:b/>
          <w:bCs/>
          <w:color w:val="auto"/>
        </w:rPr>
        <w:t>图2</w:t>
      </w:r>
      <w:r>
        <w:rPr>
          <w:rFonts w:ascii="Times New Roman" w:hAnsi="Times New Roman" w:eastAsia="宋体" w:cs="Times New Roman"/>
          <w:color w:val="auto"/>
        </w:rPr>
        <w:t xml:space="preserve">  血清血管内皮钙黏蛋白</w:t>
      </w:r>
      <w:r>
        <w:rPr>
          <w:rFonts w:hint="eastAsia" w:ascii="Times New Roman" w:hAnsi="Times New Roman" w:eastAsia="宋体" w:cs="Times New Roman"/>
          <w:color w:val="auto"/>
        </w:rPr>
        <w:t>（</w:t>
      </w:r>
      <w:r>
        <w:rPr>
          <w:rFonts w:ascii="Times New Roman" w:hAnsi="Times New Roman" w:eastAsia="宋体" w:cs="Times New Roman"/>
          <w:color w:val="auto"/>
        </w:rPr>
        <w:t>VE-cadherin</w:t>
      </w:r>
      <w:r>
        <w:rPr>
          <w:rFonts w:hint="eastAsia" w:ascii="Times New Roman" w:hAnsi="Times New Roman" w:eastAsia="宋体" w:cs="Times New Roman"/>
          <w:color w:val="auto"/>
        </w:rPr>
        <w:t>）</w:t>
      </w:r>
      <w:r>
        <w:rPr>
          <w:rFonts w:ascii="Times New Roman" w:hAnsi="Times New Roman" w:eastAsia="宋体" w:cs="Times New Roman"/>
          <w:color w:val="auto"/>
        </w:rPr>
        <w:t>、1-磷酸鞘氨酸</w:t>
      </w:r>
      <w:r>
        <w:rPr>
          <w:rFonts w:hint="eastAsia" w:ascii="Times New Roman" w:hAnsi="Times New Roman" w:eastAsia="宋体" w:cs="Times New Roman"/>
          <w:color w:val="auto"/>
        </w:rPr>
        <w:t>（</w:t>
      </w:r>
      <w:r>
        <w:rPr>
          <w:rFonts w:ascii="Times New Roman" w:hAnsi="Times New Roman" w:eastAsia="宋体" w:cs="Times New Roman"/>
          <w:color w:val="auto"/>
        </w:rPr>
        <w:t>S1P</w:t>
      </w:r>
      <w:r>
        <w:rPr>
          <w:rFonts w:hint="eastAsia" w:ascii="Times New Roman" w:hAnsi="Times New Roman" w:eastAsia="宋体" w:cs="Times New Roman"/>
          <w:color w:val="auto"/>
        </w:rPr>
        <w:t>）</w:t>
      </w:r>
      <w:r>
        <w:rPr>
          <w:rFonts w:ascii="Times New Roman" w:hAnsi="Times New Roman" w:eastAsia="宋体" w:cs="Times New Roman"/>
          <w:color w:val="auto"/>
        </w:rPr>
        <w:t>水平预测高血压脑出血患者短期预后的ROC曲线</w:t>
      </w:r>
    </w:p>
    <w:p w14:paraId="01754380">
      <w:pPr>
        <w:pStyle w:val="38"/>
        <w:spacing w:before="0" w:after="0" w:line="360" w:lineRule="auto"/>
        <w:rPr>
          <w:rFonts w:ascii="Times New Roman" w:hAnsi="Times New Roman" w:eastAsia="宋体" w:cs="Times New Roman"/>
          <w:color w:val="auto"/>
          <w:sz w:val="21"/>
        </w:rPr>
      </w:pPr>
    </w:p>
    <w:p w14:paraId="4C99C7A9">
      <w:pPr>
        <w:pStyle w:val="38"/>
        <w:spacing w:before="0" w:after="0" w:line="360" w:lineRule="auto"/>
        <w:jc w:val="center"/>
        <w:rPr>
          <w:rFonts w:ascii="Times New Roman" w:hAnsi="Times New Roman" w:eastAsia="宋体" w:cs="Times New Roman"/>
          <w:color w:val="auto"/>
          <w:sz w:val="21"/>
        </w:rPr>
      </w:pPr>
      <w:r>
        <w:rPr>
          <w:rFonts w:ascii="Times New Roman" w:hAnsi="Times New Roman" w:eastAsia="宋体" w:cs="Times New Roman"/>
          <w:color w:val="auto"/>
          <w:sz w:val="21"/>
        </w:rPr>
        <w:t>讨    论</w:t>
      </w:r>
    </w:p>
    <w:p w14:paraId="428D6FD7">
      <w:pPr>
        <w:pStyle w:val="29"/>
        <w:spacing w:line="360" w:lineRule="auto"/>
        <w:ind w:firstLine="420"/>
        <w:rPr>
          <w:rFonts w:ascii="Times New Roman" w:hAnsi="Times New Roman" w:cs="Times New Roman"/>
          <w:color w:val="auto"/>
        </w:rPr>
      </w:pPr>
      <w:r>
        <w:rPr>
          <w:rFonts w:ascii="Times New Roman" w:hAnsi="Times New Roman" w:cs="Times New Roman"/>
          <w:color w:val="auto"/>
        </w:rPr>
        <w:t>HICH是长期高血压导致脑内小动脉硬化、玻璃样变等病理改变，最终</w:t>
      </w:r>
      <w:r>
        <w:rPr>
          <w:rFonts w:hint="eastAsia" w:ascii="Times New Roman" w:hAnsi="Times New Roman" w:cs="Times New Roman"/>
          <w:color w:val="auto"/>
        </w:rPr>
        <w:t>导致</w:t>
      </w:r>
      <w:r>
        <w:rPr>
          <w:rFonts w:ascii="Times New Roman" w:hAnsi="Times New Roman" w:cs="Times New Roman"/>
          <w:color w:val="auto"/>
        </w:rPr>
        <w:t>血管破裂引发的颅内出血</w:t>
      </w:r>
      <w:r>
        <w:rPr>
          <w:rFonts w:hint="eastAsia" w:ascii="Times New Roman" w:hAnsi="Times New Roman" w:cs="Times New Roman"/>
          <w:color w:val="auto"/>
        </w:rPr>
        <w:t>。</w:t>
      </w:r>
      <w:r>
        <w:rPr>
          <w:rFonts w:ascii="Times New Roman" w:hAnsi="Times New Roman" w:cs="Times New Roman"/>
          <w:color w:val="auto"/>
        </w:rPr>
        <w:t>尽管开颅血肿清除术、颅内血肿穿刺引流术等治疗</w:t>
      </w:r>
      <w:r>
        <w:rPr>
          <w:rFonts w:hint="eastAsia" w:ascii="Times New Roman" w:hAnsi="Times New Roman" w:cs="Times New Roman"/>
          <w:color w:val="auto"/>
        </w:rPr>
        <w:t>手段</w:t>
      </w:r>
      <w:r>
        <w:rPr>
          <w:rFonts w:ascii="Times New Roman" w:hAnsi="Times New Roman" w:cs="Times New Roman"/>
          <w:color w:val="auto"/>
        </w:rPr>
        <w:t>不断发展，但由于HICH起病急骤、病情进展迅速，仍具有高致残率和高病死率</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2</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3</w:t>
      </w:r>
      <w:r>
        <w:rPr>
          <w:rFonts w:ascii="Times New Roman" w:hAnsi="Times New Roman" w:cs="Times New Roman"/>
          <w:color w:val="auto"/>
          <w:vertAlign w:val="superscript"/>
        </w:rPr>
        <w:t>]</w:t>
      </w:r>
      <w:r>
        <w:rPr>
          <w:rFonts w:ascii="Times New Roman" w:hAnsi="Times New Roman" w:cs="Times New Roman"/>
          <w:color w:val="auto"/>
        </w:rPr>
        <w:t>。脑内血管破裂引起的出血及内皮屏障功能丧失会刺激机体迅速启动凝血系统，随着凝血因子大量消耗又会引起纤溶系统过度激活，</w:t>
      </w:r>
      <w:r>
        <w:rPr>
          <w:rFonts w:hint="eastAsia" w:ascii="Times New Roman" w:hAnsi="Times New Roman" w:cs="Times New Roman"/>
          <w:color w:val="auto"/>
        </w:rPr>
        <w:t>使得</w:t>
      </w:r>
      <w:r>
        <w:rPr>
          <w:rFonts w:ascii="Times New Roman" w:hAnsi="Times New Roman" w:cs="Times New Roman"/>
          <w:color w:val="auto"/>
        </w:rPr>
        <w:t>凝血</w:t>
      </w:r>
      <w:r>
        <w:rPr>
          <w:rFonts w:hint="eastAsia" w:cs="宋体"/>
          <w:color w:val="auto"/>
        </w:rPr>
        <w:t>-</w:t>
      </w:r>
      <w:r>
        <w:rPr>
          <w:rFonts w:ascii="Times New Roman" w:hAnsi="Times New Roman" w:cs="Times New Roman"/>
          <w:color w:val="auto"/>
        </w:rPr>
        <w:t>纤溶失衡导致血肿持续扩大或新出血形成，从而加重脑组织损伤，直接影响患者病情与预后</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4</w:t>
      </w:r>
      <w:r>
        <w:rPr>
          <w:rFonts w:ascii="Times New Roman" w:hAnsi="Times New Roman" w:cs="Times New Roman"/>
          <w:color w:val="auto"/>
          <w:vertAlign w:val="superscript"/>
        </w:rPr>
        <w:t>]</w:t>
      </w:r>
      <w:r>
        <w:rPr>
          <w:rFonts w:ascii="Times New Roman" w:hAnsi="Times New Roman" w:cs="Times New Roman"/>
          <w:color w:val="auto"/>
        </w:rPr>
        <w:t>。因此，寻找相关血液</w:t>
      </w:r>
      <w:r>
        <w:rPr>
          <w:rFonts w:hint="eastAsia" w:ascii="Times New Roman" w:hAnsi="Times New Roman" w:cs="Times New Roman"/>
          <w:color w:val="auto"/>
        </w:rPr>
        <w:t>学</w:t>
      </w:r>
      <w:r>
        <w:rPr>
          <w:rFonts w:ascii="Times New Roman" w:hAnsi="Times New Roman" w:cs="Times New Roman"/>
          <w:color w:val="auto"/>
        </w:rPr>
        <w:t>标志物评估HICH患者的病情、凝血功能及预后，对指导个体化治疗干预，降低病死率和致残率具有重要的临床意义。</w:t>
      </w:r>
    </w:p>
    <w:p w14:paraId="470875F4">
      <w:pPr>
        <w:pStyle w:val="29"/>
        <w:spacing w:line="360" w:lineRule="auto"/>
        <w:ind w:firstLine="420"/>
        <w:rPr>
          <w:rFonts w:ascii="Times New Roman" w:hAnsi="Times New Roman" w:cs="Times New Roman"/>
          <w:color w:val="auto"/>
        </w:rPr>
      </w:pPr>
      <w:r>
        <w:rPr>
          <w:rFonts w:ascii="Times New Roman" w:hAnsi="Times New Roman" w:cs="Times New Roman"/>
          <w:color w:val="auto"/>
        </w:rPr>
        <w:t>BBB损伤和神经炎症是脑出血进展的关键机制。长期高血压会引发血管破裂和BBB损伤，BBB损伤可</w:t>
      </w:r>
      <w:r>
        <w:rPr>
          <w:rFonts w:hint="eastAsia" w:ascii="Times New Roman" w:hAnsi="Times New Roman" w:cs="Times New Roman"/>
          <w:color w:val="auto"/>
        </w:rPr>
        <w:t>能会导致</w:t>
      </w:r>
      <w:r>
        <w:rPr>
          <w:rFonts w:ascii="Times New Roman" w:hAnsi="Times New Roman" w:cs="Times New Roman"/>
          <w:color w:val="auto"/>
        </w:rPr>
        <w:t>使血液成分进入脑实质，进而激活神经胶质系统，</w:t>
      </w:r>
      <w:r>
        <w:rPr>
          <w:rFonts w:hint="eastAsia" w:ascii="Times New Roman" w:hAnsi="Times New Roman" w:cs="Times New Roman"/>
          <w:color w:val="auto"/>
        </w:rPr>
        <w:t>发生</w:t>
      </w:r>
      <w:r>
        <w:rPr>
          <w:rFonts w:ascii="Times New Roman" w:hAnsi="Times New Roman" w:cs="Times New Roman"/>
          <w:color w:val="auto"/>
        </w:rPr>
        <w:t>神经炎症，进一步加重脑组织损伤</w:t>
      </w:r>
      <w:r>
        <w:rPr>
          <w:rFonts w:ascii="Times New Roman" w:hAnsi="Times New Roman" w:cs="Times New Roman"/>
          <w:color w:val="auto"/>
          <w:vertAlign w:val="superscript"/>
        </w:rPr>
        <w:t>[5]</w:t>
      </w:r>
      <w:r>
        <w:rPr>
          <w:rFonts w:ascii="Times New Roman" w:hAnsi="Times New Roman" w:cs="Times New Roman"/>
          <w:color w:val="auto"/>
        </w:rPr>
        <w:t>。VE-cadherin是一种特异性表达于血管内皮细胞间的黏附分子，是维持内皮紧密连接和BBB功能的基础结构。当内皮细胞受到炎症等因素损伤时，VE-cadherin会大量释放到脑脊液和血液等体液中</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5</w:t>
      </w:r>
      <w:r>
        <w:rPr>
          <w:rFonts w:ascii="Times New Roman" w:hAnsi="Times New Roman" w:cs="Times New Roman"/>
          <w:color w:val="auto"/>
          <w:vertAlign w:val="superscript"/>
        </w:rPr>
        <w:t>]</w:t>
      </w:r>
      <w:r>
        <w:rPr>
          <w:rFonts w:ascii="Times New Roman" w:hAnsi="Times New Roman" w:cs="Times New Roman"/>
          <w:color w:val="auto"/>
        </w:rPr>
        <w:t>。研究表明，在创伤性脑损伤和脓毒症相关脑病的动物模型中，脑血管内VE-cadherin表达降低，而抑制其内吞和脱落有助于维持BBB完整性，从而减轻神经炎症</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6</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7</w:t>
      </w:r>
      <w:r>
        <w:rPr>
          <w:rFonts w:ascii="Times New Roman" w:hAnsi="Times New Roman" w:cs="Times New Roman"/>
          <w:color w:val="auto"/>
          <w:vertAlign w:val="superscript"/>
        </w:rPr>
        <w:t>]</w:t>
      </w:r>
      <w:r>
        <w:rPr>
          <w:rFonts w:ascii="Times New Roman" w:hAnsi="Times New Roman" w:cs="Times New Roman"/>
          <w:color w:val="auto"/>
        </w:rPr>
        <w:t>。此外，VE-cadherin胞外结构域的剪切会破坏内皮细胞连接，促使凝血因子大量释放，与凝血功能障碍密切相关</w:t>
      </w:r>
      <w:r>
        <w:rPr>
          <w:rFonts w:ascii="Times New Roman" w:hAnsi="Times New Roman" w:cs="Times New Roman"/>
          <w:color w:val="auto"/>
          <w:vertAlign w:val="superscript"/>
        </w:rPr>
        <w:t>[1</w:t>
      </w:r>
      <w:r>
        <w:rPr>
          <w:rFonts w:hint="eastAsia" w:ascii="Times New Roman" w:hAnsi="Times New Roman" w:cs="Times New Roman"/>
          <w:color w:val="auto"/>
          <w:vertAlign w:val="superscript"/>
        </w:rPr>
        <w:t>8</w:t>
      </w:r>
      <w:r>
        <w:rPr>
          <w:rFonts w:ascii="Times New Roman" w:hAnsi="Times New Roman" w:cs="Times New Roman"/>
          <w:color w:val="auto"/>
          <w:vertAlign w:val="superscript"/>
        </w:rPr>
        <w:t>]</w:t>
      </w:r>
      <w:r>
        <w:rPr>
          <w:rFonts w:ascii="Times New Roman" w:hAnsi="Times New Roman" w:cs="Times New Roman"/>
          <w:color w:val="auto"/>
        </w:rPr>
        <w:t>。既往研究指出，蛛网膜下腔出血患者脑脊液中VE-cadherin水平升高为病情加重及预后不良的影响因素</w:t>
      </w:r>
      <w:r>
        <w:rPr>
          <w:rFonts w:ascii="Times New Roman" w:hAnsi="Times New Roman" w:cs="Times New Roman"/>
          <w:color w:val="auto"/>
          <w:vertAlign w:val="superscript"/>
        </w:rPr>
        <w:t>[7]</w:t>
      </w:r>
      <w:r>
        <w:rPr>
          <w:rFonts w:ascii="Times New Roman" w:hAnsi="Times New Roman" w:cs="Times New Roman"/>
          <w:color w:val="auto"/>
        </w:rPr>
        <w:t>。</w:t>
      </w:r>
      <w:r>
        <w:rPr>
          <w:rFonts w:hint="eastAsia" w:ascii="Times New Roman" w:hAnsi="Times New Roman" w:cs="Times New Roman"/>
          <w:color w:val="auto"/>
          <w:lang w:val="en-US" w:eastAsia="zh-CN"/>
        </w:rPr>
        <w:t>本研究结果显示，</w:t>
      </w:r>
      <w:r>
        <w:rPr>
          <w:rFonts w:hint="eastAsia" w:ascii="Times New Roman" w:hAnsi="Times New Roman" w:cs="Times New Roman"/>
          <w:color w:val="auto"/>
        </w:rPr>
        <w:t>HICH患者血清</w:t>
      </w:r>
      <w:r>
        <w:rPr>
          <w:rFonts w:ascii="Times New Roman" w:hAnsi="Times New Roman" w:cs="Times New Roman"/>
          <w:color w:val="auto"/>
        </w:rPr>
        <w:t>VE-cadherin</w:t>
      </w:r>
      <w:r>
        <w:rPr>
          <w:rFonts w:hint="eastAsia" w:ascii="Times New Roman" w:hAnsi="Times New Roman" w:cs="Times New Roman"/>
          <w:color w:val="auto"/>
        </w:rPr>
        <w:t>水平升高，随着病情加重而升高，与D-D、FIB、PT、TT、APTT呈正相关，同时血清</w:t>
      </w:r>
      <w:r>
        <w:rPr>
          <w:rFonts w:ascii="Times New Roman" w:hAnsi="Times New Roman" w:cs="Times New Roman"/>
          <w:color w:val="auto"/>
        </w:rPr>
        <w:t>VE-cadherin</w:t>
      </w:r>
      <w:r>
        <w:rPr>
          <w:rFonts w:hint="eastAsia" w:ascii="Times New Roman" w:hAnsi="Times New Roman" w:cs="Times New Roman"/>
          <w:color w:val="auto"/>
        </w:rPr>
        <w:t>水平升高是HICH患者短期预后不良的独立危险因素</w:t>
      </w:r>
      <w:r>
        <w:rPr>
          <w:rFonts w:ascii="Times New Roman" w:hAnsi="Times New Roman" w:cs="Times New Roman"/>
          <w:color w:val="auto"/>
        </w:rPr>
        <w:t>。该结果虽与VE-cadherin在脑组织中的保护作用</w:t>
      </w:r>
      <w:r>
        <w:rPr>
          <w:rFonts w:ascii="Times New Roman" w:hAnsi="Times New Roman" w:cs="Times New Roman"/>
          <w:color w:val="auto"/>
          <w:vertAlign w:val="superscript"/>
        </w:rPr>
        <w:t>[19]</w:t>
      </w:r>
      <w:r>
        <w:rPr>
          <w:rFonts w:ascii="Times New Roman" w:hAnsi="Times New Roman" w:cs="Times New Roman"/>
          <w:color w:val="auto"/>
        </w:rPr>
        <w:t>在机制上不一致，但与脑脊液中VE-cadherin升高的报道相符</w:t>
      </w:r>
      <w:r>
        <w:rPr>
          <w:rFonts w:ascii="Times New Roman" w:hAnsi="Times New Roman" w:cs="Times New Roman"/>
          <w:color w:val="auto"/>
          <w:vertAlign w:val="superscript"/>
        </w:rPr>
        <w:t>[7]</w:t>
      </w:r>
      <w:r>
        <w:rPr>
          <w:rFonts w:ascii="Times New Roman" w:hAnsi="Times New Roman" w:cs="Times New Roman"/>
          <w:color w:val="auto"/>
        </w:rPr>
        <w:t>。VE-cadherin作为关键黏附分子，在血管内具有保护BBB和抑制神经炎症的功能</w:t>
      </w:r>
      <w:r>
        <w:rPr>
          <w:rFonts w:ascii="Times New Roman" w:hAnsi="Times New Roman" w:cs="Times New Roman"/>
          <w:color w:val="auto"/>
          <w:vertAlign w:val="superscript"/>
        </w:rPr>
        <w:t>[</w:t>
      </w:r>
      <w:r>
        <w:rPr>
          <w:rFonts w:hint="eastAsia" w:ascii="Times New Roman" w:hAnsi="Times New Roman" w:cs="Times New Roman"/>
          <w:color w:val="auto"/>
          <w:vertAlign w:val="superscript"/>
        </w:rPr>
        <w:t>19</w:t>
      </w:r>
      <w:r>
        <w:rPr>
          <w:rFonts w:ascii="Times New Roman" w:hAnsi="Times New Roman" w:cs="Times New Roman"/>
          <w:color w:val="auto"/>
          <w:vertAlign w:val="superscript"/>
        </w:rPr>
        <w:t>]</w:t>
      </w:r>
      <w:r>
        <w:rPr>
          <w:rFonts w:ascii="Times New Roman" w:hAnsi="Times New Roman" w:cs="Times New Roman"/>
          <w:color w:val="auto"/>
        </w:rPr>
        <w:t>；而血清VE-cadherin升高反映其从受损内皮释放，水平越高提示BBB损伤越严重，进而加重病情并导致不良预后</w:t>
      </w:r>
      <w:r>
        <w:rPr>
          <w:rFonts w:ascii="Times New Roman" w:hAnsi="Times New Roman" w:cs="Times New Roman"/>
          <w:color w:val="auto"/>
          <w:vertAlign w:val="superscript"/>
        </w:rPr>
        <w:t>[</w:t>
      </w:r>
      <w:r>
        <w:rPr>
          <w:rFonts w:hint="eastAsia" w:ascii="Times New Roman" w:hAnsi="Times New Roman" w:cs="Times New Roman"/>
          <w:color w:val="auto"/>
          <w:vertAlign w:val="superscript"/>
        </w:rPr>
        <w:t>20</w:t>
      </w:r>
      <w:r>
        <w:rPr>
          <w:rFonts w:ascii="Times New Roman" w:hAnsi="Times New Roman" w:cs="Times New Roman"/>
          <w:color w:val="auto"/>
          <w:vertAlign w:val="superscript"/>
        </w:rPr>
        <w:t>]</w:t>
      </w:r>
      <w:r>
        <w:rPr>
          <w:rFonts w:ascii="Times New Roman" w:hAnsi="Times New Roman" w:cs="Times New Roman"/>
          <w:color w:val="auto"/>
        </w:rPr>
        <w:t>。同时，血清VE-cadherin升高也提示血管内皮损伤加剧，内皮功能障碍可引发血管屏障破坏及抗凝机制失调，激活凝血级联反应，最终导致凝血功能紊乱</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1</w:t>
      </w:r>
      <w:r>
        <w:rPr>
          <w:rFonts w:ascii="Times New Roman" w:hAnsi="Times New Roman" w:cs="Times New Roman"/>
          <w:color w:val="auto"/>
          <w:vertAlign w:val="superscript"/>
        </w:rPr>
        <w:t>]</w:t>
      </w:r>
      <w:r>
        <w:rPr>
          <w:rFonts w:ascii="Times New Roman" w:hAnsi="Times New Roman" w:cs="Times New Roman"/>
          <w:color w:val="auto"/>
        </w:rPr>
        <w:t>。</w:t>
      </w:r>
    </w:p>
    <w:p w14:paraId="2AA1EC3B">
      <w:pPr>
        <w:pStyle w:val="29"/>
        <w:spacing w:line="360" w:lineRule="auto"/>
        <w:ind w:firstLine="420"/>
        <w:rPr>
          <w:rFonts w:ascii="Times New Roman" w:hAnsi="Times New Roman" w:cs="Times New Roman"/>
          <w:color w:val="auto"/>
        </w:rPr>
      </w:pPr>
      <w:r>
        <w:rPr>
          <w:rFonts w:ascii="Times New Roman" w:hAnsi="Times New Roman" w:cs="Times New Roman"/>
          <w:color w:val="auto"/>
        </w:rPr>
        <w:t>S1P是一种由鞘氨醇激酶催化生成的生物活性磷脂信号分子，可通过激活S1P受体（S1P receptor，S1PR）参与调节血管稳态、神经炎症及凝血功能。当血管内皮受损时，S1P被释放至脑脊液和血液等体液中</w:t>
      </w:r>
      <w:r>
        <w:rPr>
          <w:rFonts w:ascii="Times New Roman" w:hAnsi="Times New Roman" w:cs="Times New Roman"/>
          <w:color w:val="auto"/>
          <w:vertAlign w:val="superscript"/>
        </w:rPr>
        <w:t>[8]</w:t>
      </w:r>
      <w:r>
        <w:rPr>
          <w:rFonts w:ascii="Times New Roman" w:hAnsi="Times New Roman" w:cs="Times New Roman"/>
          <w:color w:val="auto"/>
        </w:rPr>
        <w:t>。研究表明，S1P定位于血管内皮细胞，通过结合S1PR1发挥保护BBB的作用</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2</w:t>
      </w:r>
      <w:r>
        <w:rPr>
          <w:rFonts w:ascii="Times New Roman" w:hAnsi="Times New Roman" w:cs="Times New Roman"/>
          <w:color w:val="auto"/>
          <w:vertAlign w:val="superscript"/>
        </w:rPr>
        <w:t>]</w:t>
      </w:r>
      <w:r>
        <w:rPr>
          <w:rFonts w:ascii="Times New Roman" w:hAnsi="Times New Roman" w:cs="Times New Roman"/>
          <w:color w:val="auto"/>
        </w:rPr>
        <w:t>。使用S1P1与S1P5受体激活剂可激活S1P信号，进而抑制核因子-κB通路，减轻多发性硬化症大鼠的神经炎症与神经元凋亡</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3</w:t>
      </w:r>
      <w:r>
        <w:rPr>
          <w:rFonts w:ascii="Times New Roman" w:hAnsi="Times New Roman" w:cs="Times New Roman"/>
          <w:color w:val="auto"/>
          <w:vertAlign w:val="superscript"/>
        </w:rPr>
        <w:t>]</w:t>
      </w:r>
      <w:r>
        <w:rPr>
          <w:rFonts w:ascii="Times New Roman" w:hAnsi="Times New Roman" w:cs="Times New Roman"/>
          <w:color w:val="auto"/>
        </w:rPr>
        <w:t>。同时，S1P/S1PR1信号通路的激活有助于增强内皮功能、稳定血管屏障，并抑制内皮损伤诱导的凝血激活</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4</w:t>
      </w:r>
      <w:r>
        <w:rPr>
          <w:rFonts w:ascii="Times New Roman" w:hAnsi="Times New Roman" w:cs="Times New Roman"/>
          <w:color w:val="auto"/>
          <w:vertAlign w:val="superscript"/>
        </w:rPr>
        <w:t>]</w:t>
      </w:r>
      <w:r>
        <w:rPr>
          <w:rFonts w:ascii="Times New Roman" w:hAnsi="Times New Roman" w:cs="Times New Roman"/>
          <w:color w:val="auto"/>
        </w:rPr>
        <w:t>。研究提示，脑脊液中S1P水平升高是蛛网膜下腔出血患者预后不良的影响因素</w:t>
      </w:r>
      <w:r>
        <w:rPr>
          <w:rFonts w:ascii="Times New Roman" w:hAnsi="Times New Roman" w:cs="Times New Roman"/>
          <w:color w:val="auto"/>
          <w:vertAlign w:val="superscript"/>
        </w:rPr>
        <w:t>[9]</w:t>
      </w:r>
      <w:r>
        <w:rPr>
          <w:rFonts w:ascii="Times New Roman" w:hAnsi="Times New Roman" w:cs="Times New Roman"/>
          <w:color w:val="auto"/>
        </w:rPr>
        <w:t>。本研究显示，HICH患者血清S1P水平升高，</w:t>
      </w:r>
      <w:r>
        <w:rPr>
          <w:rFonts w:hint="eastAsia" w:ascii="Times New Roman" w:hAnsi="Times New Roman" w:cs="Times New Roman"/>
          <w:color w:val="auto"/>
        </w:rPr>
        <w:t>随着</w:t>
      </w:r>
      <w:r>
        <w:rPr>
          <w:rFonts w:ascii="Times New Roman" w:hAnsi="Times New Roman" w:cs="Times New Roman"/>
          <w:color w:val="auto"/>
        </w:rPr>
        <w:t>病情加重而</w:t>
      </w:r>
      <w:r>
        <w:rPr>
          <w:rFonts w:hint="eastAsia" w:ascii="Times New Roman" w:hAnsi="Times New Roman" w:cs="Times New Roman"/>
          <w:color w:val="auto"/>
        </w:rPr>
        <w:t>升高</w:t>
      </w:r>
      <w:r>
        <w:rPr>
          <w:rFonts w:ascii="Times New Roman" w:hAnsi="Times New Roman" w:cs="Times New Roman"/>
          <w:color w:val="auto"/>
        </w:rPr>
        <w:t>，与D-D、FIB、PT、TT、APTT呈正相关，</w:t>
      </w:r>
      <w:r>
        <w:rPr>
          <w:rFonts w:hint="eastAsia" w:ascii="Times New Roman" w:hAnsi="Times New Roman" w:cs="Times New Roman"/>
          <w:color w:val="auto"/>
        </w:rPr>
        <w:t>同时</w:t>
      </w:r>
      <w:r>
        <w:rPr>
          <w:rFonts w:ascii="Times New Roman" w:hAnsi="Times New Roman" w:cs="Times New Roman"/>
          <w:color w:val="auto"/>
        </w:rPr>
        <w:t>血清S1P水平升高是HICH患者短期预后不良的独立危险因素。该结果与Männer等</w:t>
      </w:r>
      <w:r>
        <w:rPr>
          <w:rFonts w:ascii="Times New Roman" w:hAnsi="Times New Roman" w:cs="Times New Roman"/>
          <w:color w:val="auto"/>
          <w:vertAlign w:val="superscript"/>
        </w:rPr>
        <w:t>[9]</w:t>
      </w:r>
      <w:r>
        <w:rPr>
          <w:rFonts w:ascii="Times New Roman" w:hAnsi="Times New Roman" w:cs="Times New Roman"/>
          <w:color w:val="auto"/>
        </w:rPr>
        <w:t>关于脑脊液</w:t>
      </w:r>
      <w:r>
        <w:rPr>
          <w:rFonts w:hint="eastAsia" w:ascii="Times New Roman" w:hAnsi="Times New Roman" w:cs="Times New Roman"/>
          <w:color w:val="auto"/>
        </w:rPr>
        <w:t>中</w:t>
      </w:r>
      <w:r>
        <w:rPr>
          <w:rFonts w:ascii="Times New Roman" w:hAnsi="Times New Roman" w:cs="Times New Roman"/>
          <w:color w:val="auto"/>
        </w:rPr>
        <w:t>S1P</w:t>
      </w:r>
      <w:r>
        <w:rPr>
          <w:rFonts w:hint="eastAsia" w:ascii="Times New Roman" w:hAnsi="Times New Roman" w:cs="Times New Roman"/>
          <w:color w:val="auto"/>
        </w:rPr>
        <w:t>水平</w:t>
      </w:r>
      <w:r>
        <w:rPr>
          <w:rFonts w:ascii="Times New Roman" w:hAnsi="Times New Roman" w:cs="Times New Roman"/>
          <w:color w:val="auto"/>
        </w:rPr>
        <w:t>升高提示预后不良的报道相符</w:t>
      </w:r>
      <w:r>
        <w:rPr>
          <w:rFonts w:hint="eastAsia" w:ascii="Times New Roman" w:hAnsi="Times New Roman" w:cs="Times New Roman"/>
          <w:color w:val="auto"/>
        </w:rPr>
        <w:t>，但</w:t>
      </w:r>
      <w:r>
        <w:rPr>
          <w:rFonts w:ascii="Times New Roman" w:hAnsi="Times New Roman" w:cs="Times New Roman"/>
          <w:color w:val="auto"/>
        </w:rPr>
        <w:t>在机制上与S1P的凝血调节、BBB保护及神经保护作用不一致</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2</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4</w:t>
      </w:r>
      <w:r>
        <w:rPr>
          <w:rFonts w:ascii="Times New Roman" w:hAnsi="Times New Roman" w:cs="Times New Roman"/>
          <w:color w:val="auto"/>
          <w:vertAlign w:val="superscript"/>
        </w:rPr>
        <w:t>]</w:t>
      </w:r>
      <w:r>
        <w:rPr>
          <w:rFonts w:ascii="Times New Roman" w:hAnsi="Times New Roman" w:cs="Times New Roman"/>
          <w:color w:val="auto"/>
        </w:rPr>
        <w:t>。这种差异可能与研究所用样本类型不同有关：在</w:t>
      </w:r>
      <w:r>
        <w:rPr>
          <w:rFonts w:hint="eastAsia" w:ascii="Times New Roman" w:hAnsi="Times New Roman" w:cs="Times New Roman"/>
          <w:color w:val="auto"/>
        </w:rPr>
        <w:t>正常</w:t>
      </w:r>
      <w:r>
        <w:rPr>
          <w:rFonts w:ascii="Times New Roman" w:hAnsi="Times New Roman" w:cs="Times New Roman"/>
          <w:color w:val="auto"/>
        </w:rPr>
        <w:t>生理状态下</w:t>
      </w:r>
      <w:r>
        <w:rPr>
          <w:rFonts w:hint="eastAsia" w:ascii="Times New Roman" w:hAnsi="Times New Roman" w:cs="Times New Roman"/>
          <w:color w:val="auto"/>
        </w:rPr>
        <w:t>，</w:t>
      </w:r>
      <w:r>
        <w:rPr>
          <w:rFonts w:ascii="Times New Roman" w:hAnsi="Times New Roman" w:cs="Times New Roman"/>
          <w:color w:val="auto"/>
        </w:rPr>
        <w:t>S1P可通过维持内皮功能、抑制炎症通路发挥BBB保护及抗神经炎症作用；而在病理情况下，血清S1P水平升高反映其从受损内皮泄漏至血液循环，越高提示血管内皮与BBB损伤越严重，进而加剧神经炎症、凝血紊乱与不良预后。此外，内皮损伤释放的S1P</w:t>
      </w:r>
      <w:r>
        <w:rPr>
          <w:rFonts w:hint="eastAsia" w:ascii="Times New Roman" w:hAnsi="Times New Roman" w:cs="Times New Roman"/>
          <w:color w:val="auto"/>
        </w:rPr>
        <w:t>会</w:t>
      </w:r>
      <w:r>
        <w:rPr>
          <w:rFonts w:ascii="Times New Roman" w:hAnsi="Times New Roman" w:cs="Times New Roman"/>
          <w:color w:val="auto"/>
        </w:rPr>
        <w:t>激活NOD样受体热蛋白结构域相关蛋白3炎症信号通路，进一步推动HICH病情进展</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5</w:t>
      </w:r>
      <w:r>
        <w:rPr>
          <w:rFonts w:ascii="Times New Roman" w:hAnsi="Times New Roman" w:cs="Times New Roman"/>
          <w:color w:val="auto"/>
          <w:vertAlign w:val="superscript"/>
        </w:rPr>
        <w:t>]</w:t>
      </w:r>
      <w:r>
        <w:rPr>
          <w:rFonts w:ascii="Times New Roman" w:hAnsi="Times New Roman" w:cs="Times New Roman"/>
          <w:color w:val="auto"/>
        </w:rPr>
        <w:t>。另有研究指出，脑出血患者血浆S1P水平在发病5</w:t>
      </w:r>
      <w:r>
        <w:rPr>
          <w:rFonts w:hint="eastAsia" w:ascii="Times New Roman" w:hAnsi="Times New Roman" w:cs="Times New Roman"/>
          <w:color w:val="auto"/>
        </w:rPr>
        <w:t xml:space="preserve"> </w:t>
      </w:r>
      <w:r>
        <w:rPr>
          <w:rFonts w:ascii="Times New Roman" w:hAnsi="Times New Roman" w:cs="Times New Roman"/>
          <w:color w:val="auto"/>
        </w:rPr>
        <w:t>d内达峰值，随后随治疗逐步下降</w:t>
      </w:r>
      <w:r>
        <w:rPr>
          <w:rFonts w:ascii="Times New Roman" w:hAnsi="Times New Roman" w:cs="Times New Roman"/>
          <w:color w:val="auto"/>
          <w:vertAlign w:val="superscript"/>
        </w:rPr>
        <w:t>[2</w:t>
      </w:r>
      <w:r>
        <w:rPr>
          <w:rFonts w:hint="eastAsia" w:ascii="Times New Roman" w:hAnsi="Times New Roman" w:cs="Times New Roman"/>
          <w:color w:val="auto"/>
          <w:vertAlign w:val="superscript"/>
        </w:rPr>
        <w:t>6</w:t>
      </w:r>
      <w:r>
        <w:rPr>
          <w:rFonts w:ascii="Times New Roman" w:hAnsi="Times New Roman" w:cs="Times New Roman"/>
          <w:color w:val="auto"/>
          <w:vertAlign w:val="superscript"/>
        </w:rPr>
        <w:t>]</w:t>
      </w:r>
      <w:r>
        <w:rPr>
          <w:rFonts w:ascii="Times New Roman" w:hAnsi="Times New Roman" w:cs="Times New Roman"/>
          <w:color w:val="auto"/>
        </w:rPr>
        <w:t>。</w:t>
      </w:r>
    </w:p>
    <w:p w14:paraId="20F05E10">
      <w:pPr>
        <w:pStyle w:val="29"/>
        <w:spacing w:line="360" w:lineRule="auto"/>
        <w:ind w:firstLine="420"/>
        <w:rPr>
          <w:rFonts w:ascii="Times New Roman" w:hAnsi="Times New Roman" w:cs="Times New Roman"/>
          <w:color w:val="auto"/>
        </w:rPr>
      </w:pPr>
      <w:r>
        <w:rPr>
          <w:rFonts w:ascii="Times New Roman" w:hAnsi="Times New Roman" w:cs="Times New Roman"/>
          <w:color w:val="auto"/>
        </w:rPr>
        <w:t>本研究的ROC曲线显示，血清VE-cadherin和S1P水平联合预测HICH患者短期预后的AUC为0.908，敏感度分别为0.853，特异度分别为0.808，均显著优于血清VE-cadherin、S1P水平的单独预测效能。这说明血清VE-cadherin、S1P水平有助于预测HICH患者短期预后，二者联合</w:t>
      </w:r>
      <w:r>
        <w:rPr>
          <w:rFonts w:hint="eastAsia" w:ascii="Times New Roman" w:hAnsi="Times New Roman" w:cs="Times New Roman"/>
          <w:color w:val="auto"/>
        </w:rPr>
        <w:t>可以</w:t>
      </w:r>
      <w:r>
        <w:rPr>
          <w:rFonts w:ascii="Times New Roman" w:hAnsi="Times New Roman" w:cs="Times New Roman"/>
          <w:color w:val="auto"/>
        </w:rPr>
        <w:t>更全面地反映AIS病理过程，从而提高对不良预后的识别能力。因此，血清VE-cadherin联合S1P的检测有望作为HICH患者风险分层和临床决策的重要生物标志物组合。</w:t>
      </w:r>
    </w:p>
    <w:p w14:paraId="6117278B">
      <w:pPr>
        <w:pStyle w:val="29"/>
        <w:spacing w:line="360" w:lineRule="auto"/>
        <w:ind w:firstLine="420"/>
        <w:rPr>
          <w:rFonts w:ascii="Times New Roman" w:hAnsi="Times New Roman" w:cs="Times New Roman"/>
          <w:color w:val="auto"/>
        </w:rPr>
      </w:pPr>
      <w:r>
        <w:rPr>
          <w:rFonts w:ascii="Times New Roman" w:hAnsi="Times New Roman" w:cs="Times New Roman"/>
          <w:color w:val="auto"/>
        </w:rPr>
        <w:t>但本研究具有一定的局限性：（1）单中心研究，样本量有限，缺乏机制层面验证；（2）未纳入院内死亡患者，可能导致不良结局发生率</w:t>
      </w:r>
      <w:r>
        <w:rPr>
          <w:rFonts w:hint="eastAsia" w:ascii="Times New Roman" w:hAnsi="Times New Roman" w:cs="Times New Roman"/>
          <w:color w:val="auto"/>
        </w:rPr>
        <w:t>被</w:t>
      </w:r>
      <w:r>
        <w:rPr>
          <w:rFonts w:ascii="Times New Roman" w:hAnsi="Times New Roman" w:cs="Times New Roman"/>
          <w:color w:val="auto"/>
        </w:rPr>
        <w:t>低估，存在选择偏倚的风险。未来应在此基础上开展多中心、大样本的前瞻性研究，同时结合动物模型和细胞实验深入探讨VE-cadherin、S1P在HICH发生发展中的作用机制，以期为疾病早期识别和干预提供更加可靠的理论依据和生物学靶点。</w:t>
      </w:r>
    </w:p>
    <w:p w14:paraId="53FB25A2">
      <w:pPr>
        <w:pStyle w:val="29"/>
        <w:spacing w:line="360" w:lineRule="auto"/>
        <w:ind w:firstLine="420"/>
        <w:rPr>
          <w:rFonts w:ascii="Times New Roman" w:hAnsi="Times New Roman" w:cs="Times New Roman"/>
          <w:color w:val="auto"/>
        </w:rPr>
      </w:pPr>
      <w:r>
        <w:rPr>
          <w:rFonts w:ascii="Times New Roman" w:hAnsi="Times New Roman" w:cs="Times New Roman"/>
          <w:color w:val="auto"/>
        </w:rPr>
        <w:t>综上所述，血清VE-cadherin、S1P水平升高与HICH患者病情加重、凝血功能紊乱及短期预后不良有关，二者联合预测短期预后的效能较高。</w:t>
      </w:r>
    </w:p>
    <w:p w14:paraId="59892221">
      <w:pPr>
        <w:pStyle w:val="4"/>
        <w:spacing w:after="0" w:line="360" w:lineRule="auto"/>
        <w:jc w:val="center"/>
        <w:rPr>
          <w:rFonts w:ascii="Times New Roman" w:eastAsia="宋体" w:cs="Times New Roman"/>
          <w:color w:val="auto"/>
          <w:sz w:val="21"/>
          <w:szCs w:val="21"/>
        </w:rPr>
      </w:pPr>
    </w:p>
    <w:p w14:paraId="1EB325D6">
      <w:pPr>
        <w:pStyle w:val="4"/>
        <w:spacing w:after="0" w:line="360" w:lineRule="auto"/>
        <w:jc w:val="center"/>
        <w:rPr>
          <w:rFonts w:ascii="Times New Roman" w:eastAsia="宋体" w:cs="Times New Roman"/>
          <w:color w:val="auto"/>
          <w:sz w:val="21"/>
          <w:szCs w:val="21"/>
        </w:rPr>
      </w:pPr>
      <w:r>
        <w:rPr>
          <w:rFonts w:ascii="Times New Roman" w:eastAsia="宋体" w:cs="Times New Roman"/>
          <w:color w:val="auto"/>
          <w:sz w:val="21"/>
          <w:szCs w:val="21"/>
        </w:rPr>
        <w:t>参 考 文 献</w:t>
      </w:r>
    </w:p>
    <w:p w14:paraId="0B6C74CF">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w:t>
      </w:r>
      <w:r>
        <w:rPr>
          <w:rFonts w:hint="eastAsia" w:ascii="Times New Roman" w:hAnsi="Times New Roman" w:cs="Times New Roman"/>
          <w:color w:val="auto"/>
          <w:sz w:val="21"/>
        </w:rPr>
        <w:t xml:space="preserve"> </w:t>
      </w:r>
      <w:r>
        <w:rPr>
          <w:rFonts w:ascii="Times New Roman" w:hAnsi="Times New Roman" w:cs="Times New Roman"/>
          <w:color w:val="auto"/>
          <w:sz w:val="21"/>
        </w:rPr>
        <w:t>中国高血压防治指南修订委员会, 高血压联盟(中国), 中国医疗保健国际交流促进会高血压分会, 等. 中国高血压防治指南(2024年修订版)</w:t>
      </w:r>
      <w:r>
        <w:rPr>
          <w:rFonts w:hint="eastAsia" w:ascii="Times New Roman" w:hAnsi="Times New Roman" w:cs="Times New Roman"/>
          <w:color w:val="auto"/>
          <w:sz w:val="21"/>
        </w:rPr>
        <w:t xml:space="preserve"> [J]. </w:t>
      </w:r>
      <w:r>
        <w:rPr>
          <w:rFonts w:ascii="Times New Roman" w:hAnsi="Times New Roman" w:cs="Times New Roman"/>
          <w:color w:val="auto"/>
          <w:sz w:val="21"/>
        </w:rPr>
        <w:t xml:space="preserve">中华高血压杂志, 2024, 32(7): 603-700. </w:t>
      </w:r>
    </w:p>
    <w:p w14:paraId="5AC9E6F0">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[2]</w:t>
      </w:r>
      <w:r>
        <w:rPr>
          <w:rFonts w:hint="eastAsia" w:ascii="Times New Roman" w:hAnsi="Times New Roman" w:cs="Times New Roman"/>
          <w:color w:val="auto"/>
          <w:sz w:val="21"/>
        </w:rPr>
        <w:t xml:space="preserve"> </w:t>
      </w:r>
      <w:r>
        <w:rPr>
          <w:rFonts w:ascii="Times New Roman" w:hAnsi="Times New Roman" w:cs="Times New Roman"/>
          <w:color w:val="auto"/>
          <w:sz w:val="21"/>
        </w:rPr>
        <w:t>Wang ZW, Wan MP, Tai JH, et al. Global regional and national burden of intracerebral hemorrhage between 1990 and 2021</w:t>
      </w:r>
      <w:r>
        <w:rPr>
          <w:rFonts w:hint="eastAsia" w:ascii="Times New Roman" w:hAnsi="Times New Roman" w:cs="Times New Roman"/>
          <w:color w:val="auto"/>
          <w:sz w:val="21"/>
        </w:rPr>
        <w:t xml:space="preserve"> [J]. </w:t>
      </w:r>
      <w:r>
        <w:rPr>
          <w:rFonts w:ascii="Times New Roman" w:hAnsi="Times New Roman" w:cs="Times New Roman"/>
          <w:color w:val="auto"/>
          <w:sz w:val="21"/>
        </w:rPr>
        <w:t xml:space="preserve">Sci Rep, 2025, 15(1): 3624. </w:t>
      </w:r>
    </w:p>
    <w:p w14:paraId="0EAD78CE">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[3]</w:t>
      </w:r>
      <w:r>
        <w:rPr>
          <w:rFonts w:hint="eastAsia" w:ascii="Times New Roman" w:hAnsi="Times New Roman" w:cs="Times New Roman"/>
          <w:color w:val="auto"/>
          <w:sz w:val="21"/>
        </w:rPr>
        <w:t xml:space="preserve"> </w:t>
      </w:r>
      <w:r>
        <w:rPr>
          <w:rFonts w:ascii="Times New Roman" w:hAnsi="Times New Roman" w:cs="Times New Roman"/>
          <w:color w:val="auto"/>
          <w:sz w:val="21"/>
        </w:rPr>
        <w:t>Li W, Ruan X, Yang H, et al. Global, regional and national trends in the burden of intracranial hemorrhage, 1990-2021: results from the global burden of disease study</w:t>
      </w:r>
      <w:r>
        <w:rPr>
          <w:rFonts w:hint="eastAsia" w:ascii="Times New Roman" w:hAnsi="Times New Roman" w:cs="Times New Roman"/>
          <w:color w:val="auto"/>
          <w:sz w:val="21"/>
        </w:rPr>
        <w:t xml:space="preserve"> [J]. </w:t>
      </w:r>
      <w:r>
        <w:rPr>
          <w:rFonts w:ascii="Times New Roman" w:hAnsi="Times New Roman" w:cs="Times New Roman"/>
          <w:color w:val="auto"/>
          <w:sz w:val="21"/>
        </w:rPr>
        <w:t xml:space="preserve">Heliyon, 2025, 11(4): e42608. </w:t>
      </w:r>
    </w:p>
    <w:p w14:paraId="300034BA">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[4]</w:t>
      </w:r>
      <w:r>
        <w:rPr>
          <w:rFonts w:hint="eastAsia" w:ascii="Times New Roman" w:hAnsi="Times New Roman" w:cs="Times New Roman"/>
          <w:color w:val="auto"/>
          <w:sz w:val="21"/>
        </w:rPr>
        <w:t xml:space="preserve"> </w:t>
      </w:r>
      <w:r>
        <w:rPr>
          <w:rFonts w:ascii="Times New Roman" w:hAnsi="Times New Roman" w:cs="Times New Roman"/>
          <w:color w:val="auto"/>
          <w:sz w:val="21"/>
        </w:rPr>
        <w:t>苏彦娥, 冯飞雪, 周嘉迪, 等. 高血压性脑出血患者急性期凝血功能与远期预后的关系研究</w:t>
      </w:r>
      <w:r>
        <w:rPr>
          <w:rFonts w:hint="eastAsia" w:ascii="Times New Roman" w:hAnsi="Times New Roman" w:cs="Times New Roman"/>
          <w:color w:val="auto"/>
          <w:sz w:val="21"/>
        </w:rPr>
        <w:t xml:space="preserve"> [J]. </w:t>
      </w:r>
      <w:r>
        <w:rPr>
          <w:rFonts w:ascii="Times New Roman" w:hAnsi="Times New Roman" w:cs="Times New Roman"/>
          <w:color w:val="auto"/>
          <w:sz w:val="21"/>
        </w:rPr>
        <w:t>中华神经外科疾病研究杂志, 2025, 19(2): 61-65.</w:t>
      </w:r>
    </w:p>
    <w:p w14:paraId="12F39EC3">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[5]</w:t>
      </w:r>
      <w:r>
        <w:rPr>
          <w:rFonts w:hint="eastAsia" w:ascii="Times New Roman" w:hAnsi="Times New Roman" w:cs="Times New Roman"/>
          <w:color w:val="auto"/>
          <w:sz w:val="21"/>
        </w:rPr>
        <w:t xml:space="preserve"> </w:t>
      </w:r>
      <w:r>
        <w:rPr>
          <w:rFonts w:ascii="Times New Roman" w:hAnsi="Times New Roman" w:cs="Times New Roman"/>
          <w:color w:val="auto"/>
          <w:sz w:val="21"/>
        </w:rPr>
        <w:t>杨磊, 冯屹, 汪洋. 高血压脑出血患者急诊开颅术前凝血功能与预后的相关性研究</w:t>
      </w:r>
      <w:r>
        <w:rPr>
          <w:rFonts w:hint="eastAsia" w:ascii="Times New Roman" w:hAnsi="Times New Roman" w:cs="Times New Roman"/>
          <w:color w:val="auto"/>
          <w:sz w:val="21"/>
        </w:rPr>
        <w:t xml:space="preserve"> [J]. </w:t>
      </w:r>
      <w:r>
        <w:rPr>
          <w:rFonts w:ascii="Times New Roman" w:hAnsi="Times New Roman" w:cs="Times New Roman"/>
          <w:color w:val="auto"/>
          <w:sz w:val="21"/>
        </w:rPr>
        <w:t>实用临床医药杂志, 2024, 28(8): 83-87.</w:t>
      </w:r>
    </w:p>
    <w:p w14:paraId="271E547E">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[6]</w:t>
      </w:r>
      <w:r>
        <w:rPr>
          <w:rFonts w:hint="eastAsia" w:ascii="Times New Roman" w:hAnsi="Times New Roman" w:cs="Times New Roman"/>
          <w:color w:val="auto"/>
          <w:sz w:val="21"/>
        </w:rPr>
        <w:t xml:space="preserve"> </w:t>
      </w:r>
      <w:r>
        <w:rPr>
          <w:rFonts w:ascii="Times New Roman" w:hAnsi="Times New Roman" w:cs="Times New Roman"/>
          <w:color w:val="auto"/>
          <w:sz w:val="21"/>
        </w:rPr>
        <w:t>Nan W, He Y, Wang S, et al. Molecular mechanism of VE-cadherin in regulating endothelial cell behaviour during angiogenesis</w:t>
      </w:r>
      <w:r>
        <w:rPr>
          <w:rFonts w:hint="eastAsia" w:ascii="Times New Roman" w:hAnsi="Times New Roman" w:cs="Times New Roman"/>
          <w:color w:val="auto"/>
          <w:sz w:val="21"/>
        </w:rPr>
        <w:t xml:space="preserve"> [J]. </w:t>
      </w:r>
      <w:r>
        <w:rPr>
          <w:rFonts w:ascii="Times New Roman" w:hAnsi="Times New Roman" w:cs="Times New Roman"/>
          <w:color w:val="auto"/>
          <w:sz w:val="21"/>
        </w:rPr>
        <w:t>Front Physiol, 2023, 14: 1234104.</w:t>
      </w:r>
    </w:p>
    <w:p w14:paraId="519C1B59">
      <w:pPr>
        <w:pStyle w:val="42"/>
        <w:spacing w:line="360" w:lineRule="auto"/>
        <w:ind w:firstLine="0" w:firstLineChars="0"/>
        <w:rPr>
          <w:rFonts w:ascii="Times New Roman" w:hAnsi="Times New Roman" w:cs="Times New Roman"/>
          <w:color w:val="auto"/>
          <w:sz w:val="21"/>
          <w:lang w:val="it-IT"/>
        </w:rPr>
      </w:pPr>
      <w:r>
        <w:rPr>
          <w:rFonts w:ascii="Times New Roman" w:hAnsi="Times New Roman" w:cs="Times New Roman"/>
          <w:color w:val="auto"/>
          <w:sz w:val="21"/>
        </w:rPr>
        <w:t>[7]</w:t>
      </w:r>
      <w:r>
        <w:rPr>
          <w:rFonts w:hint="eastAsia" w:ascii="Times New Roman" w:hAnsi="Times New Roman" w:cs="Times New Roman"/>
          <w:color w:val="auto"/>
          <w:sz w:val="21"/>
        </w:rPr>
        <w:t xml:space="preserve"> </w:t>
      </w:r>
      <w:r>
        <w:rPr>
          <w:rFonts w:ascii="Times New Roman" w:hAnsi="Times New Roman" w:cs="Times New Roman"/>
          <w:color w:val="auto"/>
          <w:sz w:val="21"/>
        </w:rPr>
        <w:t>Takase H, Chou SH, Hamanaka G, et al. Soluble vascular endothelial-cadherin in CSF after subarachnoid hemorrhage</w:t>
      </w:r>
      <w:r>
        <w:rPr>
          <w:rFonts w:hint="eastAsia" w:ascii="Times New Roman" w:hAnsi="Times New Roman" w:cs="Times New Roman"/>
          <w:color w:val="auto"/>
          <w:sz w:val="21"/>
        </w:rPr>
        <w:t xml:space="preserve"> [J]. </w:t>
      </w:r>
      <w:r>
        <w:rPr>
          <w:rFonts w:ascii="Times New Roman" w:hAnsi="Times New Roman" w:cs="Times New Roman"/>
          <w:color w:val="auto"/>
          <w:sz w:val="21"/>
          <w:lang w:val="it-IT"/>
        </w:rPr>
        <w:t>Neurology</w:t>
      </w:r>
      <w:r>
        <w:rPr>
          <w:rFonts w:ascii="Times New Roman" w:hAnsi="Times New Roman" w:cs="Times New Roman"/>
          <w:color w:val="auto"/>
          <w:sz w:val="21"/>
        </w:rPr>
        <w:t xml:space="preserve">, </w:t>
      </w:r>
      <w:r>
        <w:rPr>
          <w:rFonts w:ascii="Times New Roman" w:hAnsi="Times New Roman" w:cs="Times New Roman"/>
          <w:color w:val="auto"/>
          <w:sz w:val="21"/>
          <w:lang w:val="it-IT"/>
        </w:rPr>
        <w:t>2020</w:t>
      </w:r>
      <w:r>
        <w:rPr>
          <w:rFonts w:ascii="Times New Roman" w:hAnsi="Times New Roman" w:cs="Times New Roman"/>
          <w:color w:val="auto"/>
          <w:sz w:val="21"/>
        </w:rPr>
        <w:t xml:space="preserve">, </w:t>
      </w:r>
      <w:r>
        <w:rPr>
          <w:rFonts w:ascii="Times New Roman" w:hAnsi="Times New Roman" w:cs="Times New Roman"/>
          <w:color w:val="auto"/>
          <w:sz w:val="21"/>
          <w:lang w:val="it-IT"/>
        </w:rPr>
        <w:t>94(12): e1281-e1293.</w:t>
      </w:r>
    </w:p>
    <w:p w14:paraId="6CD1FA4C">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[8]</w:t>
      </w:r>
      <w:r>
        <w:rPr>
          <w:rFonts w:hint="eastAsia" w:ascii="Times New Roman" w:hAnsi="Times New Roman" w:cs="Times New Roman"/>
          <w:color w:val="auto"/>
          <w:sz w:val="21"/>
        </w:rPr>
        <w:t xml:space="preserve"> </w:t>
      </w:r>
      <w:r>
        <w:rPr>
          <w:rFonts w:ascii="Times New Roman" w:hAnsi="Times New Roman" w:cs="Times New Roman"/>
          <w:color w:val="auto"/>
          <w:sz w:val="21"/>
        </w:rPr>
        <w:t>贲新宇, 易西南, 李其富. 1-磷酸鞘氨醇及其信号传导在中枢神经系统疾病中的研究进展</w:t>
      </w:r>
      <w:r>
        <w:rPr>
          <w:rFonts w:hint="eastAsia" w:ascii="Times New Roman" w:hAnsi="Times New Roman" w:cs="Times New Roman"/>
          <w:color w:val="auto"/>
          <w:sz w:val="21"/>
        </w:rPr>
        <w:t xml:space="preserve"> [J]. </w:t>
      </w:r>
      <w:r>
        <w:rPr>
          <w:rFonts w:ascii="Times New Roman" w:hAnsi="Times New Roman" w:cs="Times New Roman"/>
          <w:color w:val="auto"/>
          <w:sz w:val="21"/>
        </w:rPr>
        <w:t>海南医学院学报, 2023, 29(23): 1825-1830, 1835.</w:t>
      </w:r>
    </w:p>
    <w:p w14:paraId="5B262D66">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[9]</w:t>
      </w:r>
      <w:r>
        <w:rPr>
          <w:rFonts w:hint="eastAsia" w:ascii="Times New Roman" w:hAnsi="Times New Roman" w:cs="Times New Roman"/>
          <w:color w:val="auto"/>
          <w:sz w:val="21"/>
        </w:rPr>
        <w:t xml:space="preserve"> </w:t>
      </w:r>
      <w:r>
        <w:rPr>
          <w:rFonts w:ascii="Times New Roman" w:hAnsi="Times New Roman" w:cs="Times New Roman"/>
          <w:color w:val="auto"/>
          <w:sz w:val="21"/>
        </w:rPr>
        <w:t>Männer A, Thomas D, Wagner M, et al. Sphingosine 1-phosphate levels in cerebrospinal fluid after subarachnoid hemorrhage</w:t>
      </w:r>
      <w:r>
        <w:rPr>
          <w:rFonts w:hint="eastAsia" w:ascii="Times New Roman" w:hAnsi="Times New Roman" w:cs="Times New Roman"/>
          <w:color w:val="auto"/>
          <w:sz w:val="21"/>
        </w:rPr>
        <w:t xml:space="preserve"> [J]. </w:t>
      </w:r>
      <w:r>
        <w:rPr>
          <w:rFonts w:ascii="Times New Roman" w:hAnsi="Times New Roman" w:cs="Times New Roman"/>
          <w:color w:val="auto"/>
          <w:sz w:val="21"/>
        </w:rPr>
        <w:t xml:space="preserve">Neurol Res Pract, 2020, 2: 49. </w:t>
      </w:r>
    </w:p>
    <w:p w14:paraId="475DB74B">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w:t>
      </w:r>
      <w:r>
        <w:rPr>
          <w:rFonts w:hint="eastAsia" w:ascii="Times New Roman" w:hAnsi="Times New Roman" w:cs="Times New Roman"/>
          <w:color w:val="auto"/>
          <w:sz w:val="21"/>
        </w:rPr>
        <w:t>0</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中华医学会神经外科学分会, 中国医师协会急诊医师分会, 中华医学会神经病学分会脑血管病学组, 等. 高血压性脑出血中国多学科诊治指南</w:t>
      </w:r>
      <w:r>
        <w:rPr>
          <w:rFonts w:hint="eastAsia" w:ascii="Times New Roman" w:hAnsi="Times New Roman" w:cs="Times New Roman"/>
          <w:color w:val="auto"/>
          <w:sz w:val="21"/>
        </w:rPr>
        <w:t xml:space="preserve"> [J]. </w:t>
      </w:r>
      <w:r>
        <w:rPr>
          <w:rFonts w:ascii="Times New Roman" w:hAnsi="Times New Roman" w:cs="Times New Roman"/>
          <w:color w:val="auto"/>
          <w:sz w:val="21"/>
        </w:rPr>
        <w:t>中国急救医学, 2020, 40(8): 689-702.</w:t>
      </w:r>
    </w:p>
    <w:p w14:paraId="0E0C7F9B">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[11]</w:t>
      </w:r>
      <w:r>
        <w:rPr>
          <w:rFonts w:hint="eastAsia" w:ascii="Times New Roman" w:hAnsi="Times New Roman" w:cs="Times New Roman"/>
          <w:color w:val="auto"/>
          <w:sz w:val="21"/>
        </w:rPr>
        <w:t xml:space="preserve"> </w:t>
      </w:r>
      <w:r>
        <w:rPr>
          <w:rFonts w:ascii="Times New Roman" w:hAnsi="Times New Roman" w:cs="Times New Roman"/>
          <w:color w:val="auto"/>
          <w:sz w:val="21"/>
        </w:rPr>
        <w:t>中华医学会, 中华医学会杂志社, 中华医学会全科医学分会, 等. 缺血性卒中基层诊疗指南(2021年)</w:t>
      </w:r>
      <w:r>
        <w:rPr>
          <w:rFonts w:hint="eastAsia" w:ascii="Times New Roman" w:hAnsi="Times New Roman" w:cs="Times New Roman"/>
          <w:color w:val="auto"/>
          <w:sz w:val="21"/>
        </w:rPr>
        <w:t xml:space="preserve"> [J]. </w:t>
      </w:r>
      <w:r>
        <w:rPr>
          <w:rFonts w:ascii="Times New Roman" w:hAnsi="Times New Roman" w:cs="Times New Roman"/>
          <w:color w:val="auto"/>
          <w:sz w:val="21"/>
        </w:rPr>
        <w:t>中华全科医师杂志, 2021, 20(9): 927-946.</w:t>
      </w:r>
    </w:p>
    <w:p w14:paraId="50601086">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w:t>
      </w:r>
      <w:r>
        <w:rPr>
          <w:rFonts w:hint="eastAsia" w:ascii="Times New Roman" w:hAnsi="Times New Roman" w:cs="Times New Roman"/>
          <w:color w:val="auto"/>
          <w:sz w:val="21"/>
        </w:rPr>
        <w:t>2</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钱锦宏, 吴建东, 唐晓宇, 等. 3D 打印技术辅助神经内镜治疗幕上高血压脑出血破入脑室的临床效果</w:t>
      </w:r>
      <w:r>
        <w:rPr>
          <w:rFonts w:hint="eastAsia" w:ascii="Times New Roman" w:hAnsi="Times New Roman" w:cs="Times New Roman"/>
          <w:color w:val="auto"/>
          <w:sz w:val="21"/>
        </w:rPr>
        <w:t xml:space="preserve"> [J]. </w:t>
      </w:r>
      <w:r>
        <w:rPr>
          <w:rFonts w:ascii="Times New Roman" w:hAnsi="Times New Roman" w:cs="Times New Roman"/>
          <w:color w:val="auto"/>
          <w:sz w:val="21"/>
        </w:rPr>
        <w:t>中华脑血管病杂志(电子版), 2025, 19(2): 126-132.</w:t>
      </w:r>
    </w:p>
    <w:p w14:paraId="22E840E6">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w:t>
      </w:r>
      <w:r>
        <w:rPr>
          <w:rFonts w:hint="eastAsia" w:ascii="Times New Roman" w:hAnsi="Times New Roman" w:cs="Times New Roman"/>
          <w:color w:val="auto"/>
          <w:sz w:val="21"/>
        </w:rPr>
        <w:t>3</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王永彬, 贾彦迅, 尹轶广. 神经导航结合3D重建技术引导神经内镜血肿清除术对高血压脑出血患者的影响</w:t>
      </w:r>
      <w:r>
        <w:rPr>
          <w:rFonts w:hint="eastAsia" w:ascii="Times New Roman" w:hAnsi="Times New Roman" w:cs="Times New Roman"/>
          <w:color w:val="auto"/>
          <w:sz w:val="21"/>
        </w:rPr>
        <w:t xml:space="preserve"> [J]. </w:t>
      </w:r>
      <w:r>
        <w:rPr>
          <w:rFonts w:ascii="Times New Roman" w:hAnsi="Times New Roman" w:cs="Times New Roman"/>
          <w:color w:val="auto"/>
          <w:sz w:val="21"/>
        </w:rPr>
        <w:t>中华脑血管病杂志(电子版), 2024, 18(2): 153-156.</w:t>
      </w:r>
    </w:p>
    <w:p w14:paraId="1066D407">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w:t>
      </w:r>
      <w:r>
        <w:rPr>
          <w:rFonts w:hint="eastAsia" w:ascii="Times New Roman" w:hAnsi="Times New Roman" w:cs="Times New Roman"/>
          <w:color w:val="auto"/>
          <w:sz w:val="21"/>
        </w:rPr>
        <w:t>4</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杨磊, 冯屹, 汪洋. 高血压脑出血患者急诊开颅术前凝血功能与预后的相关性研究</w:t>
      </w:r>
      <w:r>
        <w:rPr>
          <w:rFonts w:hint="eastAsia" w:ascii="Times New Roman" w:hAnsi="Times New Roman" w:cs="Times New Roman"/>
          <w:color w:val="auto"/>
          <w:sz w:val="21"/>
        </w:rPr>
        <w:t xml:space="preserve"> [J]. </w:t>
      </w:r>
      <w:r>
        <w:rPr>
          <w:rFonts w:ascii="Times New Roman" w:hAnsi="Times New Roman" w:cs="Times New Roman"/>
          <w:color w:val="auto"/>
          <w:sz w:val="21"/>
        </w:rPr>
        <w:t>实用临床医药杂志, 2024, 28(8): 83-87.</w:t>
      </w:r>
    </w:p>
    <w:p w14:paraId="53E0C0DF">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w:t>
      </w:r>
      <w:r>
        <w:rPr>
          <w:rFonts w:hint="eastAsia" w:ascii="Times New Roman" w:hAnsi="Times New Roman" w:cs="Times New Roman"/>
          <w:color w:val="auto"/>
          <w:sz w:val="21"/>
        </w:rPr>
        <w:t>5</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王茜, 白瑞苗, 陈红雨, 等. 细菌性脑膜炎患儿脑脊液Caveolin-1、VE-cadherin、CXCl-5水平与炎性因子的关系及其诊断价值分析</w:t>
      </w:r>
      <w:r>
        <w:rPr>
          <w:rFonts w:hint="eastAsia" w:ascii="Times New Roman" w:hAnsi="Times New Roman" w:cs="Times New Roman"/>
          <w:color w:val="auto"/>
          <w:sz w:val="21"/>
        </w:rPr>
        <w:t xml:space="preserve"> [J]. </w:t>
      </w:r>
      <w:r>
        <w:rPr>
          <w:rFonts w:ascii="Times New Roman" w:hAnsi="Times New Roman" w:cs="Times New Roman"/>
          <w:color w:val="auto"/>
          <w:sz w:val="21"/>
        </w:rPr>
        <w:t>现代生物医学进展, 2021, 21(16): 3155-3159.</w:t>
      </w:r>
    </w:p>
    <w:p w14:paraId="70540AEB">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[1</w:t>
      </w:r>
      <w:r>
        <w:rPr>
          <w:rFonts w:hint="eastAsia" w:ascii="Times New Roman" w:hAnsi="Times New Roman" w:cs="Times New Roman"/>
          <w:color w:val="auto"/>
          <w:sz w:val="21"/>
        </w:rPr>
        <w:t>6</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Tang J, Kang Y, Zhou Y, et al. TIMP2 ameliorates blood-brain barrier disruption in traumatic brain injury by inhibiting Src-dependent VE-cadherin internalization</w:t>
      </w:r>
      <w:r>
        <w:rPr>
          <w:rFonts w:hint="eastAsia" w:ascii="Times New Roman" w:hAnsi="Times New Roman" w:cs="Times New Roman"/>
          <w:color w:val="auto"/>
          <w:sz w:val="21"/>
        </w:rPr>
        <w:t xml:space="preserve"> [J]. </w:t>
      </w:r>
      <w:r>
        <w:rPr>
          <w:rFonts w:ascii="Times New Roman" w:hAnsi="Times New Roman" w:cs="Times New Roman"/>
          <w:color w:val="auto"/>
          <w:sz w:val="21"/>
        </w:rPr>
        <w:t>J Clin Invest, 2023, 134(3): e164199.</w:t>
      </w:r>
    </w:p>
    <w:p w14:paraId="6333C664">
      <w:pPr>
        <w:pStyle w:val="42"/>
        <w:spacing w:line="360" w:lineRule="auto"/>
        <w:ind w:firstLine="0" w:firstLineChars="0"/>
        <w:rPr>
          <w:rFonts w:ascii="Times New Roman" w:hAnsi="Times New Roman" w:cs="Times New Roman"/>
          <w:color w:val="auto"/>
          <w:sz w:val="21"/>
          <w:lang w:val="it-IT"/>
        </w:rPr>
      </w:pPr>
      <w:r>
        <w:rPr>
          <w:rFonts w:ascii="Times New Roman" w:hAnsi="Times New Roman" w:cs="Times New Roman"/>
          <w:color w:val="auto"/>
          <w:sz w:val="21"/>
        </w:rPr>
        <w:t>[1</w:t>
      </w:r>
      <w:r>
        <w:rPr>
          <w:rFonts w:hint="eastAsia" w:ascii="Times New Roman" w:hAnsi="Times New Roman" w:cs="Times New Roman"/>
          <w:color w:val="auto"/>
          <w:sz w:val="21"/>
        </w:rPr>
        <w:t>7</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 xml:space="preserve">Yue J, Mo L, Zeng G, et al. Inhibition of neutrophil extracellular traps alleviates blood-brain barrier disruption and cognitive dysfunction </w:t>
      </w:r>
      <w:r>
        <w:rPr>
          <w:rFonts w:ascii="Times New Roman" w:hAnsi="Times New Roman" w:cs="Times New Roman"/>
          <w:i/>
          <w:iCs/>
          <w:color w:val="auto"/>
          <w:sz w:val="21"/>
        </w:rPr>
        <w:t>via</w:t>
      </w:r>
      <w:r>
        <w:rPr>
          <w:rFonts w:ascii="Times New Roman" w:hAnsi="Times New Roman" w:cs="Times New Roman"/>
          <w:color w:val="auto"/>
          <w:sz w:val="21"/>
        </w:rPr>
        <w:t xml:space="preserve"> Wnt3/β-catenin/TCF4 signaling in sepsis-associated encephalopathy</w:t>
      </w:r>
      <w:r>
        <w:rPr>
          <w:rFonts w:hint="eastAsia" w:ascii="Times New Roman" w:hAnsi="Times New Roman" w:cs="Times New Roman"/>
          <w:color w:val="auto"/>
          <w:sz w:val="21"/>
        </w:rPr>
        <w:t xml:space="preserve"> [J]. </w:t>
      </w:r>
      <w:r>
        <w:rPr>
          <w:rFonts w:ascii="Times New Roman" w:hAnsi="Times New Roman" w:cs="Times New Roman"/>
          <w:color w:val="auto"/>
          <w:sz w:val="21"/>
          <w:lang w:val="it-IT"/>
        </w:rPr>
        <w:t>J Neuroinflammation, 2025, 22(1): 87.</w:t>
      </w:r>
    </w:p>
    <w:p w14:paraId="544ECF41">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lang w:val="it-IT"/>
        </w:rPr>
        <w:t>[1</w:t>
      </w:r>
      <w:r>
        <w:rPr>
          <w:rFonts w:hint="eastAsia" w:ascii="Times New Roman" w:hAnsi="Times New Roman" w:cs="Times New Roman"/>
          <w:color w:val="auto"/>
          <w:sz w:val="21"/>
          <w:lang w:val="it-IT"/>
        </w:rPr>
        <w:t>8</w:t>
      </w:r>
      <w:r>
        <w:rPr>
          <w:rFonts w:ascii="Times New Roman" w:hAnsi="Times New Roman" w:cs="Times New Roman"/>
          <w:color w:val="auto"/>
          <w:sz w:val="21"/>
          <w:lang w:val="it-IT"/>
        </w:rPr>
        <w:t>]</w:t>
      </w:r>
      <w:r>
        <w:rPr>
          <w:rFonts w:hint="eastAsia" w:ascii="Times New Roman" w:hAnsi="Times New Roman" w:cs="Times New Roman"/>
          <w:color w:val="auto"/>
          <w:sz w:val="21"/>
          <w:lang w:val="it-IT"/>
        </w:rPr>
        <w:t xml:space="preserve"> </w:t>
      </w:r>
      <w:r>
        <w:rPr>
          <w:rFonts w:ascii="Times New Roman" w:hAnsi="Times New Roman" w:cs="Times New Roman"/>
          <w:color w:val="auto"/>
          <w:sz w:val="21"/>
          <w:lang w:val="it-IT"/>
        </w:rPr>
        <w:t xml:space="preserve">Puy C, Moellmer SA, Pang J, et al. </w:t>
      </w:r>
      <w:r>
        <w:rPr>
          <w:rFonts w:ascii="Times New Roman" w:hAnsi="Times New Roman" w:cs="Times New Roman"/>
          <w:color w:val="auto"/>
          <w:sz w:val="21"/>
        </w:rPr>
        <w:t xml:space="preserve">Coagulation factor </w:t>
      </w:r>
      <w:r>
        <w:rPr>
          <w:rFonts w:hint="eastAsia" w:ascii="Times New Roman" w:hAnsi="Times New Roman" w:cs="Times New Roman"/>
          <w:color w:val="auto"/>
          <w:sz w:val="21"/>
        </w:rPr>
        <w:t>Ⅺ</w:t>
      </w:r>
      <w:r>
        <w:rPr>
          <w:rFonts w:ascii="Times New Roman" w:hAnsi="Times New Roman" w:cs="Times New Roman"/>
          <w:color w:val="auto"/>
          <w:sz w:val="21"/>
        </w:rPr>
        <w:t xml:space="preserve"> regulates endothelial cell permeability and barrier function </w:t>
      </w:r>
      <w:r>
        <w:rPr>
          <w:rFonts w:ascii="Times New Roman" w:hAnsi="Times New Roman" w:cs="Times New Roman"/>
          <w:i/>
          <w:iCs/>
          <w:color w:val="auto"/>
          <w:sz w:val="21"/>
        </w:rPr>
        <w:t>in vitro</w:t>
      </w:r>
      <w:r>
        <w:rPr>
          <w:rFonts w:ascii="Times New Roman" w:hAnsi="Times New Roman" w:cs="Times New Roman"/>
          <w:color w:val="auto"/>
          <w:sz w:val="21"/>
        </w:rPr>
        <w:t xml:space="preserve"> and </w:t>
      </w:r>
      <w:r>
        <w:rPr>
          <w:rFonts w:ascii="Times New Roman" w:hAnsi="Times New Roman" w:cs="Times New Roman"/>
          <w:i/>
          <w:iCs/>
          <w:color w:val="auto"/>
          <w:sz w:val="21"/>
        </w:rPr>
        <w:t>in vivo</w:t>
      </w:r>
      <w:r>
        <w:rPr>
          <w:rFonts w:hint="eastAsia" w:ascii="Times New Roman" w:hAnsi="Times New Roman" w:cs="Times New Roman"/>
          <w:i/>
          <w:iCs/>
          <w:color w:val="auto"/>
          <w:sz w:val="21"/>
        </w:rPr>
        <w:t xml:space="preserve"> </w:t>
      </w:r>
      <w:r>
        <w:rPr>
          <w:rFonts w:hint="eastAsia" w:ascii="Times New Roman" w:hAnsi="Times New Roman" w:cs="Times New Roman"/>
          <w:color w:val="auto"/>
          <w:sz w:val="21"/>
        </w:rPr>
        <w:t xml:space="preserve">[J]. </w:t>
      </w:r>
      <w:r>
        <w:rPr>
          <w:rFonts w:ascii="Times New Roman" w:hAnsi="Times New Roman" w:cs="Times New Roman"/>
          <w:color w:val="auto"/>
          <w:sz w:val="21"/>
        </w:rPr>
        <w:t>Blood, 2024, 144(17): 1821-1833.</w:t>
      </w:r>
    </w:p>
    <w:p w14:paraId="6E71E426">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lang w:val="it-IT"/>
        </w:rPr>
        <w:t>[</w:t>
      </w:r>
      <w:r>
        <w:rPr>
          <w:rFonts w:hint="eastAsia" w:ascii="Times New Roman" w:hAnsi="Times New Roman" w:cs="Times New Roman"/>
          <w:color w:val="auto"/>
          <w:sz w:val="21"/>
          <w:lang w:val="it-IT"/>
        </w:rPr>
        <w:t>19</w:t>
      </w:r>
      <w:r>
        <w:rPr>
          <w:rFonts w:ascii="Times New Roman" w:hAnsi="Times New Roman" w:cs="Times New Roman"/>
          <w:color w:val="auto"/>
          <w:sz w:val="21"/>
          <w:lang w:val="it-IT"/>
        </w:rPr>
        <w:t>]</w:t>
      </w:r>
      <w:r>
        <w:rPr>
          <w:rFonts w:hint="eastAsia" w:ascii="Times New Roman" w:hAnsi="Times New Roman" w:cs="Times New Roman"/>
          <w:color w:val="auto"/>
          <w:sz w:val="21"/>
          <w:lang w:val="it-IT"/>
        </w:rPr>
        <w:t xml:space="preserve"> </w:t>
      </w:r>
      <w:r>
        <w:rPr>
          <w:rFonts w:ascii="Times New Roman" w:hAnsi="Times New Roman" w:cs="Times New Roman"/>
          <w:color w:val="auto"/>
          <w:sz w:val="21"/>
          <w:lang w:val="it-IT"/>
        </w:rPr>
        <w:t xml:space="preserve">Su Q, Su C, Zhang Y, et al. </w:t>
      </w:r>
      <w:r>
        <w:rPr>
          <w:rFonts w:ascii="Times New Roman" w:hAnsi="Times New Roman" w:cs="Times New Roman"/>
          <w:color w:val="auto"/>
          <w:sz w:val="21"/>
        </w:rPr>
        <w:t>A</w:t>
      </w:r>
      <w:bookmarkStart w:id="9" w:name="OLE_LINK1"/>
      <w:bookmarkStart w:id="10" w:name="OLE_LINK2"/>
      <w:r>
        <w:rPr>
          <w:rFonts w:ascii="Times New Roman" w:hAnsi="Times New Roman" w:cs="Times New Roman"/>
          <w:color w:val="auto"/>
          <w:sz w:val="21"/>
        </w:rPr>
        <w:t>djudin protects blood-brain barrier integrity and attenuates neuroinflammation following intracerebral hemorrhage in mice</w:t>
      </w:r>
      <w:bookmarkEnd w:id="9"/>
      <w:bookmarkEnd w:id="10"/>
      <w:r>
        <w:rPr>
          <w:rFonts w:hint="eastAsia" w:ascii="Times New Roman" w:hAnsi="Times New Roman" w:cs="Times New Roman"/>
          <w:color w:val="auto"/>
          <w:sz w:val="21"/>
        </w:rPr>
        <w:t xml:space="preserve"> [J]. </w:t>
      </w:r>
      <w:r>
        <w:rPr>
          <w:rFonts w:ascii="Times New Roman" w:hAnsi="Times New Roman" w:cs="Times New Roman"/>
          <w:color w:val="auto"/>
          <w:sz w:val="21"/>
        </w:rPr>
        <w:t>Int Immunopharmacol, 2024, 132: 111962.</w:t>
      </w:r>
    </w:p>
    <w:p w14:paraId="224A8975">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[2</w:t>
      </w:r>
      <w:r>
        <w:rPr>
          <w:rFonts w:hint="eastAsia" w:ascii="Times New Roman" w:hAnsi="Times New Roman" w:cs="Times New Roman"/>
          <w:color w:val="auto"/>
          <w:sz w:val="21"/>
        </w:rPr>
        <w:t>0</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赵晋斌. 尤瑞克林对老年脑梗死病人脑血流参数及血清Lp-PLA2、VE-cadherin水平的影响</w:t>
      </w:r>
      <w:r>
        <w:rPr>
          <w:rFonts w:hint="eastAsia" w:ascii="Times New Roman" w:hAnsi="Times New Roman" w:cs="Times New Roman"/>
          <w:color w:val="auto"/>
          <w:sz w:val="21"/>
        </w:rPr>
        <w:t xml:space="preserve"> [J]. </w:t>
      </w:r>
      <w:r>
        <w:rPr>
          <w:rFonts w:ascii="Times New Roman" w:hAnsi="Times New Roman" w:cs="Times New Roman"/>
          <w:color w:val="auto"/>
          <w:sz w:val="21"/>
        </w:rPr>
        <w:t>中西医结合心脑血管病杂志, 2023, 21(20): 3833-3836.</w:t>
      </w:r>
    </w:p>
    <w:p w14:paraId="20880687">
      <w:pPr>
        <w:pStyle w:val="42"/>
        <w:spacing w:line="360" w:lineRule="auto"/>
        <w:ind w:firstLine="0" w:firstLineChars="0"/>
        <w:rPr>
          <w:rFonts w:ascii="Times New Roman" w:hAnsi="Times New Roman" w:cs="Times New Roman"/>
          <w:color w:val="auto"/>
          <w:sz w:val="21"/>
          <w:lang w:val="it-IT"/>
        </w:rPr>
      </w:pPr>
      <w:r>
        <w:rPr>
          <w:rFonts w:ascii="Times New Roman" w:hAnsi="Times New Roman" w:cs="Times New Roman"/>
          <w:color w:val="auto"/>
          <w:sz w:val="21"/>
          <w:lang w:val="it-IT"/>
        </w:rPr>
        <w:t>[2</w:t>
      </w:r>
      <w:r>
        <w:rPr>
          <w:rFonts w:hint="eastAsia" w:ascii="Times New Roman" w:hAnsi="Times New Roman" w:cs="Times New Roman"/>
          <w:color w:val="auto"/>
          <w:sz w:val="21"/>
          <w:lang w:val="it-IT"/>
        </w:rPr>
        <w:t>1</w:t>
      </w:r>
      <w:r>
        <w:rPr>
          <w:rFonts w:ascii="Times New Roman" w:hAnsi="Times New Roman" w:cs="Times New Roman"/>
          <w:color w:val="auto"/>
          <w:sz w:val="21"/>
          <w:lang w:val="it-IT"/>
        </w:rPr>
        <w:t>]</w:t>
      </w:r>
      <w:r>
        <w:rPr>
          <w:rFonts w:hint="eastAsia" w:ascii="Times New Roman" w:hAnsi="Times New Roman" w:cs="Times New Roman"/>
          <w:color w:val="auto"/>
          <w:sz w:val="21"/>
          <w:lang w:val="it-IT"/>
        </w:rPr>
        <w:t xml:space="preserve"> </w:t>
      </w:r>
      <w:r>
        <w:rPr>
          <w:rFonts w:ascii="Times New Roman" w:hAnsi="Times New Roman" w:cs="Times New Roman"/>
          <w:color w:val="auto"/>
          <w:sz w:val="21"/>
          <w:lang w:val="it-IT"/>
        </w:rPr>
        <w:t xml:space="preserve">Xia T, Yu J, Du M, et al. </w:t>
      </w:r>
      <w:r>
        <w:rPr>
          <w:rFonts w:ascii="Times New Roman" w:hAnsi="Times New Roman" w:cs="Times New Roman"/>
          <w:color w:val="auto"/>
          <w:sz w:val="21"/>
        </w:rPr>
        <w:t>Vascular endothelial cell injury: causes, molecular mechanisms, and treatments</w:t>
      </w:r>
      <w:r>
        <w:rPr>
          <w:rFonts w:hint="eastAsia" w:ascii="Times New Roman" w:hAnsi="Times New Roman" w:cs="Times New Roman"/>
          <w:color w:val="auto"/>
          <w:sz w:val="21"/>
        </w:rPr>
        <w:t xml:space="preserve"> [J]. </w:t>
      </w:r>
      <w:r>
        <w:rPr>
          <w:rFonts w:ascii="Times New Roman" w:hAnsi="Times New Roman" w:cs="Times New Roman"/>
          <w:color w:val="auto"/>
          <w:sz w:val="21"/>
          <w:lang w:val="it-IT"/>
        </w:rPr>
        <w:t>MedComm(2020), 2025, 6(2): e70057.</w:t>
      </w:r>
    </w:p>
    <w:p w14:paraId="1D6F254A">
      <w:pPr>
        <w:pStyle w:val="42"/>
        <w:spacing w:line="360" w:lineRule="auto"/>
        <w:ind w:firstLine="0" w:firstLineChars="0"/>
        <w:rPr>
          <w:rFonts w:ascii="Times New Roman" w:hAnsi="Times New Roman" w:cs="Times New Roman"/>
          <w:color w:val="auto"/>
          <w:sz w:val="21"/>
          <w:lang w:val="it-IT"/>
        </w:rPr>
      </w:pPr>
      <w:r>
        <w:rPr>
          <w:rFonts w:ascii="Times New Roman" w:hAnsi="Times New Roman" w:cs="Times New Roman"/>
          <w:color w:val="auto"/>
          <w:sz w:val="21"/>
          <w:lang w:val="en-US"/>
        </w:rPr>
        <w:t>[2</w:t>
      </w:r>
      <w:r>
        <w:rPr>
          <w:rFonts w:hint="eastAsia" w:ascii="Times New Roman" w:hAnsi="Times New Roman" w:cs="Times New Roman"/>
          <w:color w:val="auto"/>
          <w:sz w:val="21"/>
          <w:lang w:val="en-US"/>
        </w:rPr>
        <w:t>2</w:t>
      </w:r>
      <w:r>
        <w:rPr>
          <w:rFonts w:ascii="Times New Roman" w:hAnsi="Times New Roman" w:cs="Times New Roman"/>
          <w:color w:val="auto"/>
          <w:sz w:val="21"/>
          <w:lang w:val="en-US"/>
        </w:rPr>
        <w:t>]</w:t>
      </w:r>
      <w:r>
        <w:rPr>
          <w:rFonts w:hint="eastAsia" w:ascii="Times New Roman" w:hAnsi="Times New Roman" w:cs="Times New Roman"/>
          <w:color w:val="auto"/>
          <w:sz w:val="21"/>
        </w:rPr>
        <w:t xml:space="preserve"> </w:t>
      </w:r>
      <w:r>
        <w:rPr>
          <w:rFonts w:ascii="Times New Roman" w:hAnsi="Times New Roman" w:cs="Times New Roman"/>
          <w:color w:val="auto"/>
          <w:sz w:val="21"/>
          <w:lang w:val="en-US"/>
        </w:rPr>
        <w:t xml:space="preserve">Hansen L, Lohfink N, Vutukuri R, et al. </w:t>
      </w:r>
      <w:r>
        <w:rPr>
          <w:rFonts w:ascii="Times New Roman" w:hAnsi="Times New Roman" w:cs="Times New Roman"/>
          <w:color w:val="auto"/>
          <w:sz w:val="21"/>
        </w:rPr>
        <w:t>Endothelial sphingosine-1-phosphate receptor 4 regulates blood-brain barrier permeability and promotes a homeostatic endothelial phenotype</w:t>
      </w:r>
      <w:r>
        <w:rPr>
          <w:rFonts w:hint="eastAsia" w:ascii="Times New Roman" w:hAnsi="Times New Roman" w:cs="Times New Roman"/>
          <w:color w:val="auto"/>
          <w:sz w:val="21"/>
        </w:rPr>
        <w:t xml:space="preserve"> [J]. </w:t>
      </w:r>
      <w:r>
        <w:rPr>
          <w:rFonts w:ascii="Times New Roman" w:hAnsi="Times New Roman" w:cs="Times New Roman"/>
          <w:color w:val="auto"/>
          <w:sz w:val="21"/>
          <w:lang w:val="it-IT"/>
        </w:rPr>
        <w:t>J Neurosci, 2022, 42(10): 1908-1929.</w:t>
      </w:r>
    </w:p>
    <w:p w14:paraId="4BF63CDB">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lang w:val="it-IT"/>
        </w:rPr>
        <w:t>[2</w:t>
      </w:r>
      <w:r>
        <w:rPr>
          <w:rFonts w:hint="eastAsia" w:ascii="Times New Roman" w:hAnsi="Times New Roman" w:cs="Times New Roman"/>
          <w:color w:val="auto"/>
          <w:sz w:val="21"/>
          <w:lang w:val="it-IT"/>
        </w:rPr>
        <w:t>3</w:t>
      </w:r>
      <w:r>
        <w:rPr>
          <w:rFonts w:ascii="Times New Roman" w:hAnsi="Times New Roman" w:cs="Times New Roman"/>
          <w:color w:val="auto"/>
          <w:sz w:val="21"/>
          <w:lang w:val="it-IT"/>
        </w:rPr>
        <w:t>]</w:t>
      </w:r>
      <w:r>
        <w:rPr>
          <w:rFonts w:hint="eastAsia" w:ascii="Times New Roman" w:hAnsi="Times New Roman" w:cs="Times New Roman"/>
          <w:color w:val="auto"/>
          <w:sz w:val="21"/>
          <w:lang w:val="it-IT"/>
        </w:rPr>
        <w:t xml:space="preserve"> </w:t>
      </w:r>
      <w:r>
        <w:rPr>
          <w:rFonts w:ascii="Times New Roman" w:hAnsi="Times New Roman" w:cs="Times New Roman"/>
          <w:color w:val="auto"/>
          <w:sz w:val="21"/>
          <w:lang w:val="it-IT"/>
        </w:rPr>
        <w:t xml:space="preserve">Gurrea-Rubio M, Wang Q, Mills EA, et al. </w:t>
      </w:r>
      <w:r>
        <w:rPr>
          <w:rFonts w:ascii="Times New Roman" w:hAnsi="Times New Roman" w:cs="Times New Roman"/>
          <w:color w:val="auto"/>
          <w:sz w:val="21"/>
        </w:rPr>
        <w:t xml:space="preserve">Siponimod attenuates neuronal cell death triggered by neuroinflammation </w:t>
      </w:r>
      <w:r>
        <w:rPr>
          <w:rFonts w:ascii="Times New Roman" w:hAnsi="Times New Roman" w:cs="Times New Roman"/>
          <w:i/>
          <w:iCs/>
          <w:color w:val="auto"/>
          <w:sz w:val="21"/>
        </w:rPr>
        <w:t>via</w:t>
      </w:r>
      <w:r>
        <w:rPr>
          <w:rFonts w:ascii="Times New Roman" w:hAnsi="Times New Roman" w:cs="Times New Roman"/>
          <w:color w:val="auto"/>
          <w:sz w:val="21"/>
        </w:rPr>
        <w:t xml:space="preserve"> NFκB and mitochondrial pathways</w:t>
      </w:r>
      <w:r>
        <w:rPr>
          <w:rFonts w:hint="eastAsia" w:ascii="Times New Roman" w:hAnsi="Times New Roman" w:cs="Times New Roman"/>
          <w:color w:val="auto"/>
          <w:sz w:val="21"/>
        </w:rPr>
        <w:t xml:space="preserve"> [J]. </w:t>
      </w:r>
      <w:r>
        <w:rPr>
          <w:rFonts w:ascii="Times New Roman" w:hAnsi="Times New Roman" w:cs="Times New Roman"/>
          <w:color w:val="auto"/>
          <w:sz w:val="21"/>
        </w:rPr>
        <w:t>Int J Mol Sci, 2024, 25(5): 2454.</w:t>
      </w:r>
    </w:p>
    <w:p w14:paraId="40898782">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[2</w:t>
      </w:r>
      <w:r>
        <w:rPr>
          <w:rFonts w:hint="eastAsia" w:ascii="Times New Roman" w:hAnsi="Times New Roman" w:cs="Times New Roman"/>
          <w:color w:val="auto"/>
          <w:sz w:val="21"/>
        </w:rPr>
        <w:t>4</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Shi Y, Liang Y, Zhang , et al. Non-negligible factors in studying the ApoM-S1P axis using EA.hy926 cells</w:t>
      </w:r>
      <w:r>
        <w:rPr>
          <w:rFonts w:hint="eastAsia" w:ascii="Times New Roman" w:hAnsi="Times New Roman" w:cs="Times New Roman"/>
          <w:color w:val="auto"/>
          <w:sz w:val="21"/>
        </w:rPr>
        <w:t xml:space="preserve"> [J]. </w:t>
      </w:r>
      <w:r>
        <w:rPr>
          <w:rFonts w:ascii="Times New Roman" w:hAnsi="Times New Roman" w:cs="Times New Roman"/>
          <w:color w:val="auto"/>
          <w:sz w:val="21"/>
        </w:rPr>
        <w:t>Ann Transl Med, 2020, 8(6): 383.</w:t>
      </w:r>
    </w:p>
    <w:p w14:paraId="772059EB">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[2</w:t>
      </w:r>
      <w:r>
        <w:rPr>
          <w:rFonts w:hint="eastAsia" w:ascii="Times New Roman" w:hAnsi="Times New Roman" w:cs="Times New Roman"/>
          <w:color w:val="auto"/>
          <w:sz w:val="21"/>
        </w:rPr>
        <w:t>5</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Feng M, An Y, Qin Q, et al. Sphk1/S1P pathway promotes blood-brain barrier breakdown after intracerebral hemorrhage through inducing NLRP3-mediated endothelial cell pyroptosis</w:t>
      </w:r>
      <w:r>
        <w:rPr>
          <w:rFonts w:hint="eastAsia" w:ascii="Times New Roman" w:hAnsi="Times New Roman" w:cs="Times New Roman"/>
          <w:color w:val="auto"/>
          <w:sz w:val="21"/>
        </w:rPr>
        <w:t xml:space="preserve"> [J]. </w:t>
      </w:r>
      <w:r>
        <w:rPr>
          <w:rFonts w:ascii="Times New Roman" w:hAnsi="Times New Roman" w:cs="Times New Roman"/>
          <w:color w:val="auto"/>
          <w:sz w:val="21"/>
        </w:rPr>
        <w:t>Cell Death Dis, 2024, 15(12): 926.</w:t>
      </w:r>
    </w:p>
    <w:p w14:paraId="606DB34E">
      <w:pPr>
        <w:pStyle w:val="42"/>
        <w:spacing w:line="360" w:lineRule="auto"/>
        <w:ind w:firstLine="0" w:firstLineChars="0"/>
        <w:rPr>
          <w:rFonts w:ascii="Times New Roman" w:hAnsi="Times New Roman" w:cs="Times New Roman"/>
          <w:color w:val="auto"/>
          <w:sz w:val="21"/>
        </w:rPr>
      </w:pPr>
      <w:r>
        <w:rPr>
          <w:rFonts w:ascii="Times New Roman" w:hAnsi="Times New Roman" w:cs="Times New Roman"/>
          <w:color w:val="auto"/>
          <w:sz w:val="21"/>
        </w:rPr>
        <w:t>[2</w:t>
      </w:r>
      <w:r>
        <w:rPr>
          <w:rFonts w:hint="eastAsia" w:ascii="Times New Roman" w:hAnsi="Times New Roman" w:cs="Times New Roman"/>
          <w:color w:val="auto"/>
          <w:sz w:val="21"/>
        </w:rPr>
        <w:t>6</w:t>
      </w:r>
      <w:r>
        <w:rPr>
          <w:rFonts w:ascii="Times New Roman" w:hAnsi="Times New Roman" w:cs="Times New Roman"/>
          <w:color w:val="auto"/>
          <w:sz w:val="21"/>
        </w:rPr>
        <w:t>]</w:t>
      </w:r>
      <w:r>
        <w:rPr>
          <w:rFonts w:hint="eastAsia" w:ascii="Times New Roman" w:hAnsi="Times New Roman" w:cs="Times New Roman"/>
          <w:color w:val="auto"/>
          <w:sz w:val="21"/>
        </w:rPr>
        <w:t xml:space="preserve"> </w:t>
      </w:r>
      <w:r>
        <w:rPr>
          <w:rFonts w:ascii="Times New Roman" w:hAnsi="Times New Roman" w:cs="Times New Roman"/>
          <w:color w:val="auto"/>
          <w:sz w:val="21"/>
        </w:rPr>
        <w:t>Wang Z, Xu J, Zou S, et al. Prognostic significance of plasma S1P in acute intracerebral hemorrhage: a prospective cohort study</w:t>
      </w:r>
      <w:r>
        <w:rPr>
          <w:rFonts w:hint="eastAsia" w:ascii="Times New Roman" w:hAnsi="Times New Roman" w:cs="Times New Roman"/>
          <w:color w:val="auto"/>
          <w:sz w:val="21"/>
        </w:rPr>
        <w:t xml:space="preserve"> [J]. </w:t>
      </w:r>
      <w:r>
        <w:rPr>
          <w:rFonts w:ascii="Times New Roman" w:hAnsi="Times New Roman" w:cs="Times New Roman"/>
          <w:color w:val="auto"/>
          <w:sz w:val="21"/>
        </w:rPr>
        <w:t>Clin Chim Acta, 2023, 551: 117585.</w:t>
      </w:r>
    </w:p>
    <w:p w14:paraId="6F711D00">
      <w:pPr>
        <w:kinsoku w:val="0"/>
        <w:autoSpaceDE w:val="0"/>
        <w:autoSpaceDN w:val="0"/>
        <w:adjustRightInd w:val="0"/>
        <w:snapToGrid w:val="0"/>
        <w:spacing w:line="360" w:lineRule="auto"/>
        <w:jc w:val="right"/>
        <w:textAlignment w:val="baseline"/>
        <w:rPr>
          <w:rFonts w:ascii="Times New Roman" w:eastAsia="宋体" w:cs="Times New Roman"/>
          <w:snapToGrid w:val="0"/>
          <w:color w:val="auto"/>
          <w:spacing w:val="9"/>
          <w:sz w:val="21"/>
          <w:szCs w:val="20"/>
        </w:rPr>
      </w:pPr>
      <w:r>
        <w:rPr>
          <w:rFonts w:ascii="Times New Roman" w:eastAsia="宋体" w:cs="Times New Roman"/>
          <w:snapToGrid w:val="0"/>
          <w:color w:val="auto"/>
          <w:spacing w:val="9"/>
          <w:sz w:val="15"/>
          <w:szCs w:val="13"/>
        </w:rPr>
        <w:t>（收稿日期：2025-12-15）</w:t>
      </w:r>
    </w:p>
    <w:p w14:paraId="6EBE0877">
      <w:pPr>
        <w:spacing w:line="360" w:lineRule="auto"/>
        <w:jc w:val="right"/>
        <w:rPr>
          <w:rFonts w:ascii="Times New Roman" w:cs="Times New Roman"/>
          <w:color w:val="auto"/>
        </w:rPr>
      </w:pPr>
      <w:r>
        <w:rPr>
          <w:rFonts w:ascii="Times New Roman" w:eastAsia="宋体" w:cs="Times New Roman"/>
          <w:snapToGrid w:val="0"/>
          <w:color w:val="auto"/>
          <w:spacing w:val="9"/>
          <w:sz w:val="21"/>
          <w:szCs w:val="20"/>
        </w:rPr>
        <w:t>（本文编辑：裴月红 戴荣源）</w:t>
      </w:r>
    </w:p>
    <w:sectPr>
      <w:footnotePr>
        <w:numFmt w:val="decimalEnclosedCircleChinese"/>
      </w:footnotePr>
      <w:pgSz w:w="11907" w:h="16159"/>
      <w:pgMar w:top="1440" w:right="1080" w:bottom="1440" w:left="10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书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numFmt w:val="decimalEnclosedCircleChinese"/>
  </w:foot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7C3"/>
    <w:rsid w:val="00002950"/>
    <w:rsid w:val="00007775"/>
    <w:rsid w:val="000120E3"/>
    <w:rsid w:val="00030AFB"/>
    <w:rsid w:val="00043C97"/>
    <w:rsid w:val="00051636"/>
    <w:rsid w:val="00053A03"/>
    <w:rsid w:val="0006373F"/>
    <w:rsid w:val="00075369"/>
    <w:rsid w:val="000B623B"/>
    <w:rsid w:val="00121828"/>
    <w:rsid w:val="001302C8"/>
    <w:rsid w:val="0013235C"/>
    <w:rsid w:val="001361F7"/>
    <w:rsid w:val="001478FA"/>
    <w:rsid w:val="001522D6"/>
    <w:rsid w:val="00152ED9"/>
    <w:rsid w:val="001624C8"/>
    <w:rsid w:val="001770FB"/>
    <w:rsid w:val="001C593B"/>
    <w:rsid w:val="001C5ADF"/>
    <w:rsid w:val="001E5B4B"/>
    <w:rsid w:val="002068E6"/>
    <w:rsid w:val="00206D23"/>
    <w:rsid w:val="00214708"/>
    <w:rsid w:val="002242A2"/>
    <w:rsid w:val="00286A15"/>
    <w:rsid w:val="0028742F"/>
    <w:rsid w:val="00292EDB"/>
    <w:rsid w:val="002A1E9F"/>
    <w:rsid w:val="002B601F"/>
    <w:rsid w:val="002E702E"/>
    <w:rsid w:val="003237F1"/>
    <w:rsid w:val="00326389"/>
    <w:rsid w:val="00327CDE"/>
    <w:rsid w:val="00340CD1"/>
    <w:rsid w:val="00350BCC"/>
    <w:rsid w:val="003569EC"/>
    <w:rsid w:val="003718C5"/>
    <w:rsid w:val="00376F4D"/>
    <w:rsid w:val="003774F5"/>
    <w:rsid w:val="00381C91"/>
    <w:rsid w:val="00381CE9"/>
    <w:rsid w:val="00383981"/>
    <w:rsid w:val="00391EE7"/>
    <w:rsid w:val="003A090B"/>
    <w:rsid w:val="003A1F72"/>
    <w:rsid w:val="003B1CD3"/>
    <w:rsid w:val="003C2C17"/>
    <w:rsid w:val="003C73D9"/>
    <w:rsid w:val="003D3DD7"/>
    <w:rsid w:val="003D5F96"/>
    <w:rsid w:val="003F7ED6"/>
    <w:rsid w:val="00405CA5"/>
    <w:rsid w:val="0041458C"/>
    <w:rsid w:val="00423137"/>
    <w:rsid w:val="00434D50"/>
    <w:rsid w:val="00451408"/>
    <w:rsid w:val="004552AC"/>
    <w:rsid w:val="00464D76"/>
    <w:rsid w:val="00466AEB"/>
    <w:rsid w:val="00471602"/>
    <w:rsid w:val="00486645"/>
    <w:rsid w:val="00494553"/>
    <w:rsid w:val="0049669A"/>
    <w:rsid w:val="00496AD6"/>
    <w:rsid w:val="004A2F49"/>
    <w:rsid w:val="004A3019"/>
    <w:rsid w:val="00510EA2"/>
    <w:rsid w:val="00511843"/>
    <w:rsid w:val="00512849"/>
    <w:rsid w:val="005156A7"/>
    <w:rsid w:val="005243A2"/>
    <w:rsid w:val="00527B6D"/>
    <w:rsid w:val="00535272"/>
    <w:rsid w:val="005518C6"/>
    <w:rsid w:val="00555FFF"/>
    <w:rsid w:val="0056254B"/>
    <w:rsid w:val="0058578F"/>
    <w:rsid w:val="00586214"/>
    <w:rsid w:val="00593490"/>
    <w:rsid w:val="005B0CFB"/>
    <w:rsid w:val="005B5C4C"/>
    <w:rsid w:val="005D58B2"/>
    <w:rsid w:val="005F127C"/>
    <w:rsid w:val="005F3F86"/>
    <w:rsid w:val="005F608B"/>
    <w:rsid w:val="006038B2"/>
    <w:rsid w:val="00625973"/>
    <w:rsid w:val="00626E2D"/>
    <w:rsid w:val="00630A08"/>
    <w:rsid w:val="00636CF6"/>
    <w:rsid w:val="00640310"/>
    <w:rsid w:val="00660A32"/>
    <w:rsid w:val="00680AF3"/>
    <w:rsid w:val="00686370"/>
    <w:rsid w:val="00693501"/>
    <w:rsid w:val="0069606D"/>
    <w:rsid w:val="006B4FF4"/>
    <w:rsid w:val="006C537E"/>
    <w:rsid w:val="006E1575"/>
    <w:rsid w:val="006E28A5"/>
    <w:rsid w:val="006E5ADA"/>
    <w:rsid w:val="00700BC8"/>
    <w:rsid w:val="00714E3E"/>
    <w:rsid w:val="00720332"/>
    <w:rsid w:val="00725649"/>
    <w:rsid w:val="00730A92"/>
    <w:rsid w:val="007346AC"/>
    <w:rsid w:val="00743C6C"/>
    <w:rsid w:val="00747D09"/>
    <w:rsid w:val="00753419"/>
    <w:rsid w:val="007562E2"/>
    <w:rsid w:val="007620AD"/>
    <w:rsid w:val="00773C97"/>
    <w:rsid w:val="007A002C"/>
    <w:rsid w:val="007A02DF"/>
    <w:rsid w:val="007A7282"/>
    <w:rsid w:val="007C0243"/>
    <w:rsid w:val="007C5561"/>
    <w:rsid w:val="007C63ED"/>
    <w:rsid w:val="007E7106"/>
    <w:rsid w:val="007F5EF0"/>
    <w:rsid w:val="00802CC9"/>
    <w:rsid w:val="0081363D"/>
    <w:rsid w:val="00843D10"/>
    <w:rsid w:val="0085544E"/>
    <w:rsid w:val="0086166D"/>
    <w:rsid w:val="008B3DDC"/>
    <w:rsid w:val="008E626B"/>
    <w:rsid w:val="00903CFF"/>
    <w:rsid w:val="009202A7"/>
    <w:rsid w:val="009217BC"/>
    <w:rsid w:val="00943406"/>
    <w:rsid w:val="00951139"/>
    <w:rsid w:val="00960619"/>
    <w:rsid w:val="00966AC4"/>
    <w:rsid w:val="00971BFB"/>
    <w:rsid w:val="009A46C5"/>
    <w:rsid w:val="009A5655"/>
    <w:rsid w:val="009B2419"/>
    <w:rsid w:val="009D7281"/>
    <w:rsid w:val="009E2313"/>
    <w:rsid w:val="009E335D"/>
    <w:rsid w:val="009F4C47"/>
    <w:rsid w:val="00A25E8D"/>
    <w:rsid w:val="00A33F40"/>
    <w:rsid w:val="00A52EC1"/>
    <w:rsid w:val="00A5447F"/>
    <w:rsid w:val="00A811B6"/>
    <w:rsid w:val="00A87C64"/>
    <w:rsid w:val="00AA52D6"/>
    <w:rsid w:val="00AB315B"/>
    <w:rsid w:val="00AD558A"/>
    <w:rsid w:val="00AE229B"/>
    <w:rsid w:val="00AE7F3E"/>
    <w:rsid w:val="00AF15DA"/>
    <w:rsid w:val="00AF2779"/>
    <w:rsid w:val="00B07B37"/>
    <w:rsid w:val="00B12C46"/>
    <w:rsid w:val="00B254CF"/>
    <w:rsid w:val="00B308B8"/>
    <w:rsid w:val="00B42BE7"/>
    <w:rsid w:val="00B5152E"/>
    <w:rsid w:val="00B637AD"/>
    <w:rsid w:val="00B82B68"/>
    <w:rsid w:val="00B83E4C"/>
    <w:rsid w:val="00BA1B1B"/>
    <w:rsid w:val="00BA1CA9"/>
    <w:rsid w:val="00BA1E36"/>
    <w:rsid w:val="00BA72C0"/>
    <w:rsid w:val="00BC05B4"/>
    <w:rsid w:val="00BD07B7"/>
    <w:rsid w:val="00BD438E"/>
    <w:rsid w:val="00BF17CB"/>
    <w:rsid w:val="00BF4E59"/>
    <w:rsid w:val="00BF5F46"/>
    <w:rsid w:val="00C16A33"/>
    <w:rsid w:val="00C26108"/>
    <w:rsid w:val="00C4216D"/>
    <w:rsid w:val="00C44E2D"/>
    <w:rsid w:val="00C47140"/>
    <w:rsid w:val="00C62A46"/>
    <w:rsid w:val="00C6302E"/>
    <w:rsid w:val="00C6664C"/>
    <w:rsid w:val="00C73851"/>
    <w:rsid w:val="00C80B92"/>
    <w:rsid w:val="00C82289"/>
    <w:rsid w:val="00C82C9C"/>
    <w:rsid w:val="00C90865"/>
    <w:rsid w:val="00C93E3A"/>
    <w:rsid w:val="00C95D47"/>
    <w:rsid w:val="00CB1D13"/>
    <w:rsid w:val="00CC3570"/>
    <w:rsid w:val="00CC75A1"/>
    <w:rsid w:val="00CE68B8"/>
    <w:rsid w:val="00D01BC0"/>
    <w:rsid w:val="00D11758"/>
    <w:rsid w:val="00D14475"/>
    <w:rsid w:val="00D3685C"/>
    <w:rsid w:val="00D54477"/>
    <w:rsid w:val="00D81827"/>
    <w:rsid w:val="00D940E1"/>
    <w:rsid w:val="00D97A19"/>
    <w:rsid w:val="00DA10EA"/>
    <w:rsid w:val="00DC50A7"/>
    <w:rsid w:val="00DE6379"/>
    <w:rsid w:val="00DE71EA"/>
    <w:rsid w:val="00DF4B95"/>
    <w:rsid w:val="00DF5AF6"/>
    <w:rsid w:val="00E03901"/>
    <w:rsid w:val="00E05032"/>
    <w:rsid w:val="00E106CB"/>
    <w:rsid w:val="00E13352"/>
    <w:rsid w:val="00E14247"/>
    <w:rsid w:val="00E336E3"/>
    <w:rsid w:val="00E47980"/>
    <w:rsid w:val="00E5206B"/>
    <w:rsid w:val="00E5427A"/>
    <w:rsid w:val="00E61B98"/>
    <w:rsid w:val="00E629AC"/>
    <w:rsid w:val="00E65F9B"/>
    <w:rsid w:val="00E72845"/>
    <w:rsid w:val="00E73414"/>
    <w:rsid w:val="00E802F5"/>
    <w:rsid w:val="00E93DC0"/>
    <w:rsid w:val="00EB4538"/>
    <w:rsid w:val="00ED39DB"/>
    <w:rsid w:val="00EF4F0F"/>
    <w:rsid w:val="00EF510F"/>
    <w:rsid w:val="00F043AD"/>
    <w:rsid w:val="00F05942"/>
    <w:rsid w:val="00F104CB"/>
    <w:rsid w:val="00F2499B"/>
    <w:rsid w:val="00F402EB"/>
    <w:rsid w:val="00F478A4"/>
    <w:rsid w:val="00F506CF"/>
    <w:rsid w:val="00F81A0E"/>
    <w:rsid w:val="00F97B5B"/>
    <w:rsid w:val="00FA1499"/>
    <w:rsid w:val="00FA4F46"/>
    <w:rsid w:val="00FA57C3"/>
    <w:rsid w:val="00FB708E"/>
    <w:rsid w:val="00FC4922"/>
    <w:rsid w:val="00FF188D"/>
    <w:rsid w:val="00FF3399"/>
    <w:rsid w:val="012A2737"/>
    <w:rsid w:val="01B464A4"/>
    <w:rsid w:val="01C61BA8"/>
    <w:rsid w:val="01E56A76"/>
    <w:rsid w:val="0205559D"/>
    <w:rsid w:val="02204B8A"/>
    <w:rsid w:val="02391278"/>
    <w:rsid w:val="02F43727"/>
    <w:rsid w:val="033E23EF"/>
    <w:rsid w:val="03D74230"/>
    <w:rsid w:val="03E6339F"/>
    <w:rsid w:val="03F91E91"/>
    <w:rsid w:val="042A6EF2"/>
    <w:rsid w:val="050454D4"/>
    <w:rsid w:val="051778E3"/>
    <w:rsid w:val="05280D03"/>
    <w:rsid w:val="056401E1"/>
    <w:rsid w:val="068A4E6D"/>
    <w:rsid w:val="06D56E44"/>
    <w:rsid w:val="06D73361"/>
    <w:rsid w:val="07691ADF"/>
    <w:rsid w:val="07A56FBB"/>
    <w:rsid w:val="08807261"/>
    <w:rsid w:val="08977049"/>
    <w:rsid w:val="08A27CD2"/>
    <w:rsid w:val="08BB3426"/>
    <w:rsid w:val="08DD09D6"/>
    <w:rsid w:val="08F71A98"/>
    <w:rsid w:val="091326A6"/>
    <w:rsid w:val="0962601A"/>
    <w:rsid w:val="0A4C3D61"/>
    <w:rsid w:val="0A6F565E"/>
    <w:rsid w:val="0AA7684A"/>
    <w:rsid w:val="0BDE2A9B"/>
    <w:rsid w:val="0BEF678A"/>
    <w:rsid w:val="0C0B13B7"/>
    <w:rsid w:val="0C0B778C"/>
    <w:rsid w:val="0C594818"/>
    <w:rsid w:val="0D044784"/>
    <w:rsid w:val="0E5F2E0F"/>
    <w:rsid w:val="0F0B3455"/>
    <w:rsid w:val="0F1B4006"/>
    <w:rsid w:val="0F6F5E61"/>
    <w:rsid w:val="0FA77648"/>
    <w:rsid w:val="100B4351"/>
    <w:rsid w:val="10685029"/>
    <w:rsid w:val="10D95F27"/>
    <w:rsid w:val="10EA1EE2"/>
    <w:rsid w:val="117A14B8"/>
    <w:rsid w:val="11A6627C"/>
    <w:rsid w:val="12274A70"/>
    <w:rsid w:val="126F4150"/>
    <w:rsid w:val="128A6509"/>
    <w:rsid w:val="129B16E6"/>
    <w:rsid w:val="12B409FA"/>
    <w:rsid w:val="12B57E20"/>
    <w:rsid w:val="13626497"/>
    <w:rsid w:val="138403CC"/>
    <w:rsid w:val="141A74A2"/>
    <w:rsid w:val="1428639F"/>
    <w:rsid w:val="142B4CEC"/>
    <w:rsid w:val="143A6CDD"/>
    <w:rsid w:val="147E12BF"/>
    <w:rsid w:val="149B44BB"/>
    <w:rsid w:val="149E726C"/>
    <w:rsid w:val="16381051"/>
    <w:rsid w:val="16811EDF"/>
    <w:rsid w:val="16B65B6B"/>
    <w:rsid w:val="16DA16D4"/>
    <w:rsid w:val="175D16A0"/>
    <w:rsid w:val="17CC40F0"/>
    <w:rsid w:val="19063631"/>
    <w:rsid w:val="191B532F"/>
    <w:rsid w:val="191D6E46"/>
    <w:rsid w:val="194C6A11"/>
    <w:rsid w:val="19FE41CF"/>
    <w:rsid w:val="1A0C2EC9"/>
    <w:rsid w:val="1A826A90"/>
    <w:rsid w:val="1ADA424D"/>
    <w:rsid w:val="1AE2353F"/>
    <w:rsid w:val="1B0A4937"/>
    <w:rsid w:val="1BAC19F3"/>
    <w:rsid w:val="1BF31414"/>
    <w:rsid w:val="1C2508D6"/>
    <w:rsid w:val="1EE461C3"/>
    <w:rsid w:val="1FD20E64"/>
    <w:rsid w:val="1FF17BF3"/>
    <w:rsid w:val="20D32FEA"/>
    <w:rsid w:val="210C2DC4"/>
    <w:rsid w:val="21233D21"/>
    <w:rsid w:val="21353FAA"/>
    <w:rsid w:val="21442F49"/>
    <w:rsid w:val="21486EDD"/>
    <w:rsid w:val="21630A88"/>
    <w:rsid w:val="216655B5"/>
    <w:rsid w:val="220D0AD9"/>
    <w:rsid w:val="228F4698"/>
    <w:rsid w:val="229D5007"/>
    <w:rsid w:val="22FF181D"/>
    <w:rsid w:val="23152DEF"/>
    <w:rsid w:val="242E2942"/>
    <w:rsid w:val="24540A05"/>
    <w:rsid w:val="24912949"/>
    <w:rsid w:val="24CC3981"/>
    <w:rsid w:val="24ED56A6"/>
    <w:rsid w:val="25AD37B3"/>
    <w:rsid w:val="265956E8"/>
    <w:rsid w:val="26E86B9F"/>
    <w:rsid w:val="270E79A0"/>
    <w:rsid w:val="27781B9E"/>
    <w:rsid w:val="283830DC"/>
    <w:rsid w:val="28D63020"/>
    <w:rsid w:val="294302BA"/>
    <w:rsid w:val="296E14AB"/>
    <w:rsid w:val="297B3FA5"/>
    <w:rsid w:val="2A257690"/>
    <w:rsid w:val="2A6B1334"/>
    <w:rsid w:val="2ACE5ADD"/>
    <w:rsid w:val="2AFE62CE"/>
    <w:rsid w:val="2B0032FF"/>
    <w:rsid w:val="2B251DDD"/>
    <w:rsid w:val="2B391645"/>
    <w:rsid w:val="2C583C14"/>
    <w:rsid w:val="2C6D0235"/>
    <w:rsid w:val="2CE079AD"/>
    <w:rsid w:val="2CFC5020"/>
    <w:rsid w:val="2D0143E4"/>
    <w:rsid w:val="2D51762E"/>
    <w:rsid w:val="2DC330B3"/>
    <w:rsid w:val="2DED6716"/>
    <w:rsid w:val="2EF70D03"/>
    <w:rsid w:val="2F257BE7"/>
    <w:rsid w:val="2F6B61D1"/>
    <w:rsid w:val="30405223"/>
    <w:rsid w:val="30C9604A"/>
    <w:rsid w:val="30FF0C3A"/>
    <w:rsid w:val="310E0365"/>
    <w:rsid w:val="31A25077"/>
    <w:rsid w:val="31A43590"/>
    <w:rsid w:val="32044B8C"/>
    <w:rsid w:val="32A55811"/>
    <w:rsid w:val="32A97FCE"/>
    <w:rsid w:val="33357E15"/>
    <w:rsid w:val="33A3321A"/>
    <w:rsid w:val="34761214"/>
    <w:rsid w:val="347C2011"/>
    <w:rsid w:val="348A1163"/>
    <w:rsid w:val="348E2A01"/>
    <w:rsid w:val="34A067F6"/>
    <w:rsid w:val="34DF289B"/>
    <w:rsid w:val="355E0625"/>
    <w:rsid w:val="35B9585C"/>
    <w:rsid w:val="36445A95"/>
    <w:rsid w:val="369D517D"/>
    <w:rsid w:val="36B64491"/>
    <w:rsid w:val="36D851FD"/>
    <w:rsid w:val="37083255"/>
    <w:rsid w:val="37105B75"/>
    <w:rsid w:val="38451629"/>
    <w:rsid w:val="39565AB7"/>
    <w:rsid w:val="399066A4"/>
    <w:rsid w:val="3A5F50E3"/>
    <w:rsid w:val="3AD153F6"/>
    <w:rsid w:val="3B815E36"/>
    <w:rsid w:val="3C050185"/>
    <w:rsid w:val="3CAA5093"/>
    <w:rsid w:val="3DDC3EE7"/>
    <w:rsid w:val="3EF31185"/>
    <w:rsid w:val="3F823162"/>
    <w:rsid w:val="3F8844F1"/>
    <w:rsid w:val="3FA550A3"/>
    <w:rsid w:val="405C3AA6"/>
    <w:rsid w:val="40742FDA"/>
    <w:rsid w:val="41032081"/>
    <w:rsid w:val="41140732"/>
    <w:rsid w:val="412B1985"/>
    <w:rsid w:val="416866F6"/>
    <w:rsid w:val="419E624E"/>
    <w:rsid w:val="41F7194E"/>
    <w:rsid w:val="42A44BF6"/>
    <w:rsid w:val="42B86E9B"/>
    <w:rsid w:val="42CD6DEA"/>
    <w:rsid w:val="43AA455A"/>
    <w:rsid w:val="4475773A"/>
    <w:rsid w:val="452137F1"/>
    <w:rsid w:val="460C6D7B"/>
    <w:rsid w:val="46972D4E"/>
    <w:rsid w:val="46E40449"/>
    <w:rsid w:val="46F653E2"/>
    <w:rsid w:val="47332F94"/>
    <w:rsid w:val="47333E28"/>
    <w:rsid w:val="47863A0C"/>
    <w:rsid w:val="47DF74E6"/>
    <w:rsid w:val="480A1F47"/>
    <w:rsid w:val="483D3D14"/>
    <w:rsid w:val="48AF0D82"/>
    <w:rsid w:val="48B22D24"/>
    <w:rsid w:val="498A77E3"/>
    <w:rsid w:val="49A22162"/>
    <w:rsid w:val="49C449CF"/>
    <w:rsid w:val="4A121587"/>
    <w:rsid w:val="4A235542"/>
    <w:rsid w:val="4A45370A"/>
    <w:rsid w:val="4A7707C6"/>
    <w:rsid w:val="4AF55130"/>
    <w:rsid w:val="4B835FC8"/>
    <w:rsid w:val="4BC871CC"/>
    <w:rsid w:val="4CE52F83"/>
    <w:rsid w:val="4D6D36A4"/>
    <w:rsid w:val="4DC1754C"/>
    <w:rsid w:val="4E965F62"/>
    <w:rsid w:val="4EDB5747"/>
    <w:rsid w:val="4F670EC1"/>
    <w:rsid w:val="4F79469A"/>
    <w:rsid w:val="4F7A538D"/>
    <w:rsid w:val="50013BA7"/>
    <w:rsid w:val="51491D32"/>
    <w:rsid w:val="514E7348"/>
    <w:rsid w:val="51D54E97"/>
    <w:rsid w:val="51F34B83"/>
    <w:rsid w:val="52B92EE7"/>
    <w:rsid w:val="530D54A1"/>
    <w:rsid w:val="533B56AA"/>
    <w:rsid w:val="53C94B67"/>
    <w:rsid w:val="53CA4C80"/>
    <w:rsid w:val="53D66BF9"/>
    <w:rsid w:val="5463135D"/>
    <w:rsid w:val="54D506FD"/>
    <w:rsid w:val="563B1F2D"/>
    <w:rsid w:val="56FD440C"/>
    <w:rsid w:val="57AE3D51"/>
    <w:rsid w:val="57B20207"/>
    <w:rsid w:val="57F7487B"/>
    <w:rsid w:val="5847689F"/>
    <w:rsid w:val="58A67DD1"/>
    <w:rsid w:val="58B52500"/>
    <w:rsid w:val="594013EC"/>
    <w:rsid w:val="59B91A1F"/>
    <w:rsid w:val="5ACE32A8"/>
    <w:rsid w:val="5AD43767"/>
    <w:rsid w:val="5AED3420"/>
    <w:rsid w:val="5AEE394A"/>
    <w:rsid w:val="5B4F25A6"/>
    <w:rsid w:val="5C5123E2"/>
    <w:rsid w:val="5C515F3F"/>
    <w:rsid w:val="5C735EB5"/>
    <w:rsid w:val="5C9B17F5"/>
    <w:rsid w:val="5D1B7FA1"/>
    <w:rsid w:val="5DA6050C"/>
    <w:rsid w:val="5DB06C95"/>
    <w:rsid w:val="5DE75D5A"/>
    <w:rsid w:val="5E5A53D0"/>
    <w:rsid w:val="5E6F6657"/>
    <w:rsid w:val="5EA70098"/>
    <w:rsid w:val="5EF14F1B"/>
    <w:rsid w:val="5F0279C4"/>
    <w:rsid w:val="5F4A72A9"/>
    <w:rsid w:val="5FA53E94"/>
    <w:rsid w:val="5FBE7D8F"/>
    <w:rsid w:val="604A517F"/>
    <w:rsid w:val="606721D5"/>
    <w:rsid w:val="60824919"/>
    <w:rsid w:val="60CC2E64"/>
    <w:rsid w:val="61360446"/>
    <w:rsid w:val="615F2EAC"/>
    <w:rsid w:val="622D6B06"/>
    <w:rsid w:val="6245505E"/>
    <w:rsid w:val="624D0F56"/>
    <w:rsid w:val="62650996"/>
    <w:rsid w:val="6294085A"/>
    <w:rsid w:val="633F4D43"/>
    <w:rsid w:val="636724EC"/>
    <w:rsid w:val="639A428D"/>
    <w:rsid w:val="64306D81"/>
    <w:rsid w:val="64351345"/>
    <w:rsid w:val="64700725"/>
    <w:rsid w:val="6518586B"/>
    <w:rsid w:val="658B16BA"/>
    <w:rsid w:val="65BD2897"/>
    <w:rsid w:val="65E011BA"/>
    <w:rsid w:val="66096C5D"/>
    <w:rsid w:val="66742F55"/>
    <w:rsid w:val="66DC6D4D"/>
    <w:rsid w:val="674072DB"/>
    <w:rsid w:val="67675235"/>
    <w:rsid w:val="6829511B"/>
    <w:rsid w:val="68296392"/>
    <w:rsid w:val="68492751"/>
    <w:rsid w:val="685748DD"/>
    <w:rsid w:val="68686AEA"/>
    <w:rsid w:val="68DB72BC"/>
    <w:rsid w:val="68F61446"/>
    <w:rsid w:val="69532764"/>
    <w:rsid w:val="69594684"/>
    <w:rsid w:val="69E9420C"/>
    <w:rsid w:val="6ADA35A3"/>
    <w:rsid w:val="6B0A3D63"/>
    <w:rsid w:val="6B105217"/>
    <w:rsid w:val="6BDD1972"/>
    <w:rsid w:val="6CB30664"/>
    <w:rsid w:val="6CB3284F"/>
    <w:rsid w:val="6CE95D1F"/>
    <w:rsid w:val="6CF7770E"/>
    <w:rsid w:val="6D177CED"/>
    <w:rsid w:val="6D326DE0"/>
    <w:rsid w:val="6DD67F0F"/>
    <w:rsid w:val="6DE07122"/>
    <w:rsid w:val="6DE95C81"/>
    <w:rsid w:val="6F1F1ECC"/>
    <w:rsid w:val="6F7A6DD8"/>
    <w:rsid w:val="702920DD"/>
    <w:rsid w:val="705D2CAC"/>
    <w:rsid w:val="70666005"/>
    <w:rsid w:val="71341C5F"/>
    <w:rsid w:val="71A62F83"/>
    <w:rsid w:val="71DA46A7"/>
    <w:rsid w:val="7278201F"/>
    <w:rsid w:val="727F33AE"/>
    <w:rsid w:val="731004AA"/>
    <w:rsid w:val="733E0FBC"/>
    <w:rsid w:val="7358551C"/>
    <w:rsid w:val="73B076B0"/>
    <w:rsid w:val="73F12089"/>
    <w:rsid w:val="747F48E4"/>
    <w:rsid w:val="74DB6BAE"/>
    <w:rsid w:val="753B10E2"/>
    <w:rsid w:val="760A5684"/>
    <w:rsid w:val="770A0AB8"/>
    <w:rsid w:val="77541BC5"/>
    <w:rsid w:val="77C97286"/>
    <w:rsid w:val="77E15F71"/>
    <w:rsid w:val="77E62117"/>
    <w:rsid w:val="78D6051E"/>
    <w:rsid w:val="7A845A01"/>
    <w:rsid w:val="7ABF7E5A"/>
    <w:rsid w:val="7AD1051F"/>
    <w:rsid w:val="7B4927AB"/>
    <w:rsid w:val="7C6F2735"/>
    <w:rsid w:val="7CB1685A"/>
    <w:rsid w:val="7D197F5B"/>
    <w:rsid w:val="7DAA32A9"/>
    <w:rsid w:val="7DF102B2"/>
    <w:rsid w:val="7DFC4EBB"/>
    <w:rsid w:val="7E152E18"/>
    <w:rsid w:val="7E2E1DB4"/>
    <w:rsid w:val="7F5434CC"/>
  </w:rsids>
  <m:mathPr>
    <m:mathFont m:val="Cambria Math"/>
    <m:brkBin m:val="before"/>
    <m:brkBinSub m:val="--"/>
    <m:smallFrac m:val="0"/>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hAnsi="Times New Roman" w:asciiTheme="minorHAnsi" w:eastAsiaTheme="minorEastAsia" w:cstheme="minorBidi"/>
      <w:sz w:val="22"/>
      <w:szCs w:val="22"/>
      <w:lang w:val="en-US" w:eastAsia="zh-CN" w:bidi="ar-SA"/>
    </w:rPr>
  </w:style>
  <w:style w:type="paragraph" w:styleId="2">
    <w:name w:val="heading 3"/>
    <w:basedOn w:val="1"/>
    <w:next w:val="1"/>
    <w:semiHidden/>
    <w:unhideWhenUsed/>
    <w:qFormat/>
    <w:uiPriority w:val="9"/>
    <w:pPr>
      <w:spacing w:beforeAutospacing="1" w:afterAutospacing="1"/>
      <w:outlineLvl w:val="2"/>
    </w:pPr>
    <w:rPr>
      <w:rFonts w:hint="eastAsia" w:ascii="宋体" w:hAnsi="宋体" w:eastAsia="宋体" w:cs="Times New Roman"/>
      <w:b/>
      <w:bCs/>
      <w:sz w:val="27"/>
      <w:szCs w:val="27"/>
    </w:rPr>
  </w:style>
  <w:style w:type="character" w:default="1" w:styleId="14">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54"/>
    <w:semiHidden/>
    <w:unhideWhenUsed/>
    <w:qFormat/>
    <w:uiPriority w:val="99"/>
  </w:style>
  <w:style w:type="paragraph" w:styleId="4">
    <w:name w:val="Body Text"/>
    <w:basedOn w:val="1"/>
    <w:qFormat/>
    <w:uiPriority w:val="0"/>
    <w:pPr>
      <w:spacing w:after="120"/>
    </w:pPr>
  </w:style>
  <w:style w:type="paragraph" w:styleId="5">
    <w:name w:val="Balloon Text"/>
    <w:basedOn w:val="1"/>
    <w:link w:val="21"/>
    <w:semiHidden/>
    <w:unhideWhenUsed/>
    <w:qFormat/>
    <w:uiPriority w:val="99"/>
    <w:rPr>
      <w:rFonts w:ascii="Tahoma" w:hAnsi="Tahoma" w:cs="Tahoma"/>
      <w:sz w:val="16"/>
      <w:szCs w:val="16"/>
    </w:rPr>
  </w:style>
  <w:style w:type="paragraph" w:styleId="6">
    <w:name w:val="footer"/>
    <w:basedOn w:val="1"/>
    <w:link w:val="19"/>
    <w:unhideWhenUsed/>
    <w:qFormat/>
    <w:uiPriority w:val="99"/>
    <w:pPr>
      <w:tabs>
        <w:tab w:val="center" w:pos="4513"/>
        <w:tab w:val="right" w:pos="9026"/>
      </w:tabs>
    </w:pPr>
  </w:style>
  <w:style w:type="paragraph" w:styleId="7">
    <w:name w:val="header"/>
    <w:basedOn w:val="1"/>
    <w:link w:val="18"/>
    <w:unhideWhenUsed/>
    <w:qFormat/>
    <w:uiPriority w:val="99"/>
    <w:pPr>
      <w:tabs>
        <w:tab w:val="center" w:pos="4513"/>
        <w:tab w:val="right" w:pos="9026"/>
      </w:tabs>
    </w:pPr>
  </w:style>
  <w:style w:type="paragraph" w:styleId="8">
    <w:name w:val="footnote text"/>
    <w:basedOn w:val="1"/>
    <w:link w:val="26"/>
    <w:semiHidden/>
    <w:unhideWhenUsed/>
    <w:qFormat/>
    <w:uiPriority w:val="99"/>
    <w:pPr>
      <w:snapToGrid w:val="0"/>
    </w:pPr>
    <w:rPr>
      <w:sz w:val="18"/>
      <w:szCs w:val="18"/>
    </w:rPr>
  </w:style>
  <w:style w:type="paragraph" w:styleId="9">
    <w:name w:val="Normal (Web)"/>
    <w:basedOn w:val="1"/>
    <w:semiHidden/>
    <w:unhideWhenUsed/>
    <w:qFormat/>
    <w:uiPriority w:val="99"/>
    <w:pPr>
      <w:spacing w:beforeAutospacing="1" w:afterAutospacing="1"/>
    </w:pPr>
    <w:rPr>
      <w:rFonts w:cs="Times New Roman"/>
      <w:sz w:val="24"/>
    </w:rPr>
  </w:style>
  <w:style w:type="paragraph" w:styleId="10">
    <w:name w:val="annotation subject"/>
    <w:basedOn w:val="3"/>
    <w:next w:val="3"/>
    <w:link w:val="55"/>
    <w:semiHidden/>
    <w:unhideWhenUsed/>
    <w:qFormat/>
    <w:uiPriority w:val="99"/>
    <w:rPr>
      <w:b/>
      <w:bCs/>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styleId="13">
    <w:name w:val="Light Shading Accent 3"/>
    <w:basedOn w:val="11"/>
    <w:qFormat/>
    <w:uiPriority w:val="60"/>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15">
    <w:name w:val="Strong"/>
    <w:basedOn w:val="14"/>
    <w:qFormat/>
    <w:uiPriority w:val="22"/>
    <w:rPr>
      <w:b/>
    </w:rPr>
  </w:style>
  <w:style w:type="character" w:styleId="16">
    <w:name w:val="annotation reference"/>
    <w:basedOn w:val="14"/>
    <w:semiHidden/>
    <w:unhideWhenUsed/>
    <w:qFormat/>
    <w:uiPriority w:val="99"/>
    <w:rPr>
      <w:sz w:val="21"/>
      <w:szCs w:val="21"/>
    </w:rPr>
  </w:style>
  <w:style w:type="character" w:styleId="17">
    <w:name w:val="footnote reference"/>
    <w:basedOn w:val="14"/>
    <w:semiHidden/>
    <w:unhideWhenUsed/>
    <w:qFormat/>
    <w:uiPriority w:val="99"/>
    <w:rPr>
      <w:vertAlign w:val="superscript"/>
    </w:rPr>
  </w:style>
  <w:style w:type="character" w:customStyle="1" w:styleId="18">
    <w:name w:val="页眉 字符"/>
    <w:basedOn w:val="14"/>
    <w:link w:val="7"/>
    <w:qFormat/>
    <w:uiPriority w:val="99"/>
  </w:style>
  <w:style w:type="character" w:customStyle="1" w:styleId="19">
    <w:name w:val="页脚 字符"/>
    <w:basedOn w:val="14"/>
    <w:link w:val="6"/>
    <w:qFormat/>
    <w:uiPriority w:val="99"/>
  </w:style>
  <w:style w:type="paragraph" w:styleId="20">
    <w:name w:val="List Paragraph"/>
    <w:basedOn w:val="1"/>
    <w:qFormat/>
    <w:uiPriority w:val="34"/>
    <w:pPr>
      <w:ind w:left="720"/>
      <w:contextualSpacing/>
    </w:pPr>
  </w:style>
  <w:style w:type="character" w:customStyle="1" w:styleId="21">
    <w:name w:val="批注框文本 字符"/>
    <w:basedOn w:val="14"/>
    <w:link w:val="5"/>
    <w:semiHidden/>
    <w:qFormat/>
    <w:uiPriority w:val="99"/>
    <w:rPr>
      <w:rFonts w:ascii="Tahoma" w:hAnsi="Tahoma" w:cs="Tahoma"/>
      <w:sz w:val="16"/>
      <w:szCs w:val="16"/>
    </w:rPr>
  </w:style>
  <w:style w:type="paragraph" w:styleId="22">
    <w:name w:val="Quote"/>
    <w:basedOn w:val="1"/>
    <w:next w:val="1"/>
    <w:link w:val="23"/>
    <w:qFormat/>
    <w:uiPriority w:val="29"/>
    <w:rPr>
      <w:i/>
      <w:iCs/>
      <w:color w:val="000000" w:themeColor="text1"/>
      <w14:textFill>
        <w14:solidFill>
          <w14:schemeClr w14:val="tx1"/>
        </w14:solidFill>
      </w14:textFill>
    </w:rPr>
  </w:style>
  <w:style w:type="character" w:customStyle="1" w:styleId="23">
    <w:name w:val="引用 字符"/>
    <w:basedOn w:val="14"/>
    <w:link w:val="22"/>
    <w:qFormat/>
    <w:uiPriority w:val="29"/>
    <w:rPr>
      <w:i/>
      <w:iCs/>
      <w:color w:val="000000" w:themeColor="text1"/>
      <w14:textFill>
        <w14:solidFill>
          <w14:schemeClr w14:val="tx1"/>
        </w14:solidFill>
      </w14:textFill>
    </w:rPr>
  </w:style>
  <w:style w:type="paragraph" w:customStyle="1" w:styleId="24">
    <w:name w:val="MTDisplayEquation"/>
    <w:basedOn w:val="1"/>
    <w:next w:val="1"/>
    <w:link w:val="25"/>
    <w:qFormat/>
    <w:uiPriority w:val="0"/>
    <w:pPr>
      <w:tabs>
        <w:tab w:val="center" w:pos="4160"/>
        <w:tab w:val="right" w:pos="8300"/>
      </w:tabs>
    </w:pPr>
  </w:style>
  <w:style w:type="character" w:customStyle="1" w:styleId="25">
    <w:name w:val="MTDisplayEquation Char"/>
    <w:basedOn w:val="14"/>
    <w:link w:val="24"/>
    <w:qFormat/>
    <w:uiPriority w:val="0"/>
  </w:style>
  <w:style w:type="character" w:customStyle="1" w:styleId="26">
    <w:name w:val="脚注文本 字符"/>
    <w:basedOn w:val="14"/>
    <w:link w:val="8"/>
    <w:semiHidden/>
    <w:qFormat/>
    <w:uiPriority w:val="99"/>
    <w:rPr>
      <w:sz w:val="18"/>
      <w:szCs w:val="18"/>
    </w:rPr>
  </w:style>
  <w:style w:type="paragraph" w:customStyle="1" w:styleId="27">
    <w:name w:val="[基本段落]"/>
    <w:basedOn w:val="28"/>
    <w:qFormat/>
    <w:uiPriority w:val="0"/>
    <w:pPr>
      <w:ind w:firstLine="200" w:firstLineChars="200"/>
    </w:pPr>
    <w:rPr>
      <w:rFonts w:hint="default" w:ascii="宋体" w:hAnsi="宋体" w:eastAsia="宋体"/>
    </w:rPr>
  </w:style>
  <w:style w:type="paragraph" w:customStyle="1" w:styleId="28">
    <w:name w:val="[系统文字]"/>
    <w:qFormat/>
    <w:uiPriority w:val="0"/>
    <w:pPr>
      <w:jc w:val="both"/>
    </w:pPr>
    <w:rPr>
      <w:rFonts w:hint="eastAsia" w:ascii="Times New Roman" w:hAnsi="Times New Roman" w:eastAsia="方正书宋_GBK" w:cstheme="minorBidi"/>
      <w:color w:val="000000"/>
      <w:sz w:val="21"/>
      <w:szCs w:val="21"/>
      <w:lang w:val="en-US" w:eastAsia="zh-CN" w:bidi="ar-SA"/>
    </w:rPr>
  </w:style>
  <w:style w:type="paragraph" w:customStyle="1" w:styleId="29">
    <w:name w:val="41正文"/>
    <w:basedOn w:val="28"/>
    <w:qFormat/>
    <w:uiPriority w:val="0"/>
    <w:pPr>
      <w:ind w:firstLine="200" w:firstLineChars="200"/>
    </w:pPr>
    <w:rPr>
      <w:rFonts w:hint="default" w:ascii="宋体" w:hAnsi="宋体" w:eastAsia="宋体"/>
    </w:rPr>
  </w:style>
  <w:style w:type="paragraph" w:customStyle="1" w:styleId="30">
    <w:name w:val="55章首页眉左块 拷贝"/>
    <w:basedOn w:val="28"/>
    <w:qFormat/>
    <w:uiPriority w:val="0"/>
    <w:rPr>
      <w:rFonts w:hint="default"/>
      <w:sz w:val="16"/>
      <w:szCs w:val="16"/>
    </w:rPr>
  </w:style>
  <w:style w:type="paragraph" w:customStyle="1" w:styleId="31">
    <w:name w:val="01中文标题"/>
    <w:basedOn w:val="28"/>
    <w:qFormat/>
    <w:uiPriority w:val="0"/>
    <w:pPr>
      <w:jc w:val="center"/>
    </w:pPr>
    <w:rPr>
      <w:rFonts w:hint="default" w:ascii="宋体" w:hAnsi="宋体" w:eastAsia="宋体"/>
      <w:sz w:val="42"/>
      <w:szCs w:val="42"/>
    </w:rPr>
  </w:style>
  <w:style w:type="paragraph" w:customStyle="1" w:styleId="32">
    <w:name w:val="04中文摘要"/>
    <w:basedOn w:val="28"/>
    <w:qFormat/>
    <w:uiPriority w:val="0"/>
    <w:rPr>
      <w:rFonts w:hint="default" w:ascii="宋体" w:hAnsi="宋体" w:eastAsia="楷体"/>
    </w:rPr>
  </w:style>
  <w:style w:type="paragraph" w:customStyle="1" w:styleId="33">
    <w:name w:val="05中文关键词"/>
    <w:basedOn w:val="28"/>
    <w:qFormat/>
    <w:uiPriority w:val="0"/>
    <w:rPr>
      <w:rFonts w:hint="default" w:ascii="宋体" w:hAnsi="宋体" w:eastAsia="楷体"/>
    </w:rPr>
  </w:style>
  <w:style w:type="paragraph" w:customStyle="1" w:styleId="34">
    <w:name w:val="07中图分类号"/>
    <w:basedOn w:val="28"/>
    <w:qFormat/>
    <w:uiPriority w:val="0"/>
    <w:pPr>
      <w:spacing w:after="158"/>
    </w:pPr>
    <w:rPr>
      <w:rFonts w:hint="default" w:ascii="宋体" w:hAnsi="宋体" w:eastAsia="黑体"/>
    </w:rPr>
  </w:style>
  <w:style w:type="paragraph" w:customStyle="1" w:styleId="35">
    <w:name w:val="11英文标题"/>
    <w:basedOn w:val="28"/>
    <w:qFormat/>
    <w:uiPriority w:val="0"/>
    <w:pPr>
      <w:jc w:val="center"/>
    </w:pPr>
    <w:rPr>
      <w:rFonts w:hint="default" w:ascii="黑体" w:hAnsi="黑体" w:eastAsia="黑体"/>
      <w:sz w:val="24"/>
      <w:szCs w:val="24"/>
    </w:rPr>
  </w:style>
  <w:style w:type="paragraph" w:customStyle="1" w:styleId="36">
    <w:name w:val="14英文摘要"/>
    <w:basedOn w:val="28"/>
    <w:qFormat/>
    <w:uiPriority w:val="0"/>
    <w:pPr>
      <w:spacing w:before="105"/>
    </w:pPr>
    <w:rPr>
      <w:rFonts w:hint="default" w:ascii="宋体" w:hAnsi="宋体" w:eastAsia="宋体"/>
      <w:sz w:val="18"/>
      <w:szCs w:val="18"/>
    </w:rPr>
  </w:style>
  <w:style w:type="paragraph" w:customStyle="1" w:styleId="37">
    <w:name w:val="15英文关键词"/>
    <w:basedOn w:val="28"/>
    <w:qFormat/>
    <w:uiPriority w:val="0"/>
    <w:pPr>
      <w:spacing w:after="315"/>
    </w:pPr>
    <w:rPr>
      <w:rFonts w:hint="default" w:ascii="宋体" w:hAnsi="宋体" w:eastAsia="宋体"/>
      <w:sz w:val="18"/>
      <w:szCs w:val="18"/>
    </w:rPr>
  </w:style>
  <w:style w:type="paragraph" w:customStyle="1" w:styleId="38">
    <w:name w:val="42一级标题"/>
    <w:basedOn w:val="28"/>
    <w:qFormat/>
    <w:uiPriority w:val="0"/>
    <w:pPr>
      <w:spacing w:before="105" w:after="105"/>
    </w:pPr>
    <w:rPr>
      <w:rFonts w:hint="default" w:ascii="黑体" w:hAnsi="黑体" w:eastAsia="黑体"/>
      <w:sz w:val="28"/>
      <w:szCs w:val="28"/>
    </w:rPr>
  </w:style>
  <w:style w:type="paragraph" w:customStyle="1" w:styleId="39">
    <w:name w:val="42二级标题"/>
    <w:basedOn w:val="28"/>
    <w:qFormat/>
    <w:uiPriority w:val="0"/>
    <w:rPr>
      <w:rFonts w:hint="default" w:ascii="黑体" w:hAnsi="黑体" w:eastAsia="黑体"/>
    </w:rPr>
  </w:style>
  <w:style w:type="paragraph" w:customStyle="1" w:styleId="40">
    <w:name w:val="42三级标题"/>
    <w:basedOn w:val="28"/>
    <w:qFormat/>
    <w:uiPriority w:val="0"/>
    <w:rPr>
      <w:rFonts w:hint="default" w:ascii="黑体" w:hAnsi="黑体" w:eastAsia="华文新魏"/>
    </w:rPr>
  </w:style>
  <w:style w:type="paragraph" w:customStyle="1" w:styleId="41">
    <w:name w:val="24参考文献标题"/>
    <w:basedOn w:val="28"/>
    <w:qFormat/>
    <w:uiPriority w:val="0"/>
    <w:pPr>
      <w:spacing w:before="315"/>
      <w:outlineLvl w:val="1"/>
    </w:pPr>
    <w:rPr>
      <w:rFonts w:hint="default" w:ascii="宋体" w:hAnsi="宋体" w:eastAsia="黑体"/>
      <w:sz w:val="18"/>
      <w:szCs w:val="18"/>
    </w:rPr>
  </w:style>
  <w:style w:type="paragraph" w:customStyle="1" w:styleId="42">
    <w:name w:val="22参考文献条目段落"/>
    <w:basedOn w:val="28"/>
    <w:qFormat/>
    <w:uiPriority w:val="0"/>
    <w:pPr>
      <w:ind w:hanging="235" w:hangingChars="235"/>
    </w:pPr>
    <w:rPr>
      <w:rFonts w:hint="default" w:ascii="宋体" w:hAnsi="宋体" w:eastAsia="宋体"/>
      <w:sz w:val="18"/>
      <w:szCs w:val="18"/>
    </w:rPr>
  </w:style>
  <w:style w:type="paragraph" w:customStyle="1" w:styleId="43">
    <w:name w:val="53章首注释区"/>
    <w:basedOn w:val="28"/>
    <w:qFormat/>
    <w:uiPriority w:val="0"/>
    <w:pPr>
      <w:ind w:firstLine="200" w:firstLineChars="200"/>
    </w:pPr>
    <w:rPr>
      <w:rFonts w:hint="default" w:ascii="宋体" w:hAnsi="宋体" w:eastAsia="宋体"/>
      <w:sz w:val="16"/>
      <w:szCs w:val="16"/>
    </w:rPr>
  </w:style>
  <w:style w:type="paragraph" w:customStyle="1" w:styleId="44">
    <w:name w:val="59表题 拷贝"/>
    <w:basedOn w:val="28"/>
    <w:qFormat/>
    <w:uiPriority w:val="0"/>
    <w:pPr>
      <w:jc w:val="center"/>
    </w:pPr>
    <w:rPr>
      <w:rFonts w:hint="default" w:ascii="黑体" w:hAnsi="黑体" w:eastAsia="黑体"/>
      <w:sz w:val="18"/>
      <w:szCs w:val="18"/>
    </w:rPr>
  </w:style>
  <w:style w:type="paragraph" w:customStyle="1" w:styleId="45">
    <w:name w:val="表题"/>
    <w:basedOn w:val="28"/>
    <w:qFormat/>
    <w:uiPriority w:val="0"/>
    <w:pPr>
      <w:ind w:firstLine="200" w:firstLineChars="200"/>
    </w:pPr>
    <w:rPr>
      <w:rFonts w:hint="default" w:ascii="宋体" w:hAnsi="宋体" w:eastAsia="楷体"/>
    </w:rPr>
  </w:style>
  <w:style w:type="paragraph" w:customStyle="1" w:styleId="46">
    <w:name w:val="下行跟随"/>
    <w:basedOn w:val="28"/>
    <w:qFormat/>
    <w:uiPriority w:val="0"/>
    <w:pPr>
      <w:jc w:val="center"/>
    </w:pPr>
    <w:rPr>
      <w:rFonts w:hint="default" w:ascii="宋体" w:hAnsi="宋体" w:eastAsia="宋体"/>
      <w:sz w:val="18"/>
      <w:szCs w:val="18"/>
    </w:rPr>
  </w:style>
  <w:style w:type="paragraph" w:customStyle="1" w:styleId="47">
    <w:name w:val="56表体内容"/>
    <w:basedOn w:val="28"/>
    <w:qFormat/>
    <w:uiPriority w:val="0"/>
    <w:pPr>
      <w:jc w:val="center"/>
    </w:pPr>
    <w:rPr>
      <w:rFonts w:hint="default" w:ascii="宋体" w:hAnsi="宋体" w:eastAsia="仿宋"/>
      <w:sz w:val="18"/>
      <w:szCs w:val="18"/>
    </w:rPr>
  </w:style>
  <w:style w:type="paragraph" w:customStyle="1" w:styleId="48">
    <w:name w:val="59表题 拷贝1"/>
    <w:basedOn w:val="28"/>
    <w:qFormat/>
    <w:uiPriority w:val="0"/>
    <w:pPr>
      <w:jc w:val="center"/>
    </w:pPr>
    <w:rPr>
      <w:rFonts w:hint="default" w:ascii="黑体" w:hAnsi="黑体" w:eastAsia="黑体"/>
      <w:sz w:val="18"/>
      <w:szCs w:val="18"/>
    </w:rPr>
  </w:style>
  <w:style w:type="paragraph" w:customStyle="1" w:styleId="49">
    <w:name w:val="表注"/>
    <w:basedOn w:val="28"/>
    <w:qFormat/>
    <w:uiPriority w:val="0"/>
    <w:rPr>
      <w:rFonts w:hint="default" w:ascii="宋体" w:hAnsi="宋体" w:eastAsia="仿宋"/>
      <w:sz w:val="16"/>
      <w:szCs w:val="16"/>
    </w:rPr>
  </w:style>
  <w:style w:type="paragraph" w:customStyle="1" w:styleId="50">
    <w:name w:val="59表题 拷贝2"/>
    <w:basedOn w:val="28"/>
    <w:qFormat/>
    <w:uiPriority w:val="0"/>
    <w:pPr>
      <w:jc w:val="center"/>
    </w:pPr>
    <w:rPr>
      <w:rFonts w:hint="default" w:ascii="黑体" w:hAnsi="黑体" w:eastAsia="黑体"/>
      <w:sz w:val="18"/>
      <w:szCs w:val="18"/>
    </w:rPr>
  </w:style>
  <w:style w:type="paragraph" w:customStyle="1" w:styleId="51">
    <w:name w:val="59表题 拷贝3"/>
    <w:basedOn w:val="28"/>
    <w:qFormat/>
    <w:uiPriority w:val="0"/>
    <w:pPr>
      <w:jc w:val="center"/>
    </w:pPr>
    <w:rPr>
      <w:rFonts w:hint="default" w:ascii="黑体" w:hAnsi="黑体" w:eastAsia="黑体"/>
      <w:sz w:val="18"/>
      <w:szCs w:val="18"/>
    </w:rPr>
  </w:style>
  <w:style w:type="paragraph" w:customStyle="1" w:styleId="52">
    <w:name w:val="59表题 拷贝4"/>
    <w:basedOn w:val="28"/>
    <w:qFormat/>
    <w:uiPriority w:val="0"/>
    <w:pPr>
      <w:jc w:val="center"/>
    </w:pPr>
    <w:rPr>
      <w:rFonts w:hint="default" w:ascii="黑体" w:hAnsi="黑体" w:eastAsia="黑体"/>
      <w:sz w:val="18"/>
      <w:szCs w:val="18"/>
    </w:rPr>
  </w:style>
  <w:style w:type="paragraph" w:customStyle="1" w:styleId="53">
    <w:name w:val="普通图图题"/>
    <w:basedOn w:val="28"/>
    <w:qFormat/>
    <w:uiPriority w:val="0"/>
    <w:pPr>
      <w:jc w:val="center"/>
    </w:pPr>
    <w:rPr>
      <w:rFonts w:hint="default" w:ascii="宋体" w:hAnsi="宋体" w:eastAsia="楷体"/>
    </w:rPr>
  </w:style>
  <w:style w:type="character" w:customStyle="1" w:styleId="54">
    <w:name w:val="批注文字 字符"/>
    <w:basedOn w:val="14"/>
    <w:link w:val="3"/>
    <w:semiHidden/>
    <w:qFormat/>
    <w:uiPriority w:val="99"/>
  </w:style>
  <w:style w:type="character" w:customStyle="1" w:styleId="55">
    <w:name w:val="批注主题 字符"/>
    <w:basedOn w:val="54"/>
    <w:link w:val="10"/>
    <w:semiHidden/>
    <w:qFormat/>
    <w:uiPriority w:val="99"/>
    <w:rPr>
      <w:b/>
      <w:bCs/>
    </w:rPr>
  </w:style>
  <w:style w:type="character" w:customStyle="1" w:styleId="56">
    <w:name w:val="target-translate"/>
    <w:basedOn w:val="14"/>
    <w:qFormat/>
    <w:uiPriority w:val="0"/>
  </w:style>
  <w:style w:type="paragraph" w:customStyle="1" w:styleId="57">
    <w:name w:val="修订1"/>
    <w:hidden/>
    <w:unhideWhenUsed/>
    <w:qFormat/>
    <w:uiPriority w:val="99"/>
    <w:rPr>
      <w:rFonts w:hAnsi="Times New Roman" w:asciiTheme="minorHAnsi" w:eastAsiaTheme="minorEastAsia" w:cstheme="minorBidi"/>
      <w:sz w:val="22"/>
      <w:szCs w:val="22"/>
      <w:lang w:val="en-US" w:eastAsia="zh-CN" w:bidi="ar-SA"/>
    </w:rPr>
  </w:style>
  <w:style w:type="paragraph" w:customStyle="1" w:styleId="58">
    <w:name w:val="修订2"/>
    <w:hidden/>
    <w:unhideWhenUsed/>
    <w:qFormat/>
    <w:uiPriority w:val="99"/>
    <w:rPr>
      <w:rFonts w:hAnsi="Times New Roman" w:asciiTheme="minorHAnsi" w:eastAsiaTheme="minorEastAsia" w:cstheme="minorBidi"/>
      <w:sz w:val="22"/>
      <w:szCs w:val="22"/>
      <w:lang w:val="en-US" w:eastAsia="zh-CN" w:bidi="ar-SA"/>
    </w:rPr>
  </w:style>
  <w:style w:type="paragraph" w:customStyle="1" w:styleId="59">
    <w:name w:val="修订3"/>
    <w:hidden/>
    <w:unhideWhenUsed/>
    <w:qFormat/>
    <w:uiPriority w:val="99"/>
    <w:rPr>
      <w:rFonts w:hAnsi="Times New Roman" w:asciiTheme="minorHAnsi" w:eastAsiaTheme="minorEastAsia" w:cstheme="minorBidi"/>
      <w:sz w:val="22"/>
      <w:szCs w:val="22"/>
      <w:lang w:val="en-US" w:eastAsia="zh-CN" w:bidi="ar-SA"/>
    </w:rPr>
  </w:style>
  <w:style w:type="paragraph" w:customStyle="1" w:styleId="60">
    <w:name w:val="Revision"/>
    <w:hidden/>
    <w:unhideWhenUsed/>
    <w:qFormat/>
    <w:uiPriority w:val="99"/>
    <w:rPr>
      <w:rFonts w:hAnsi="Times New Roman" w:asciiTheme="minorHAnsi" w:eastAsiaTheme="minorEastAsia"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5.bin"/><Relationship Id="rId8" Type="http://schemas.openxmlformats.org/officeDocument/2006/relationships/oleObject" Target="embeddings/oleObject4.bin"/><Relationship Id="rId7" Type="http://schemas.openxmlformats.org/officeDocument/2006/relationships/oleObject" Target="embeddings/oleObject3.bin"/><Relationship Id="rId6" Type="http://schemas.openxmlformats.org/officeDocument/2006/relationships/oleObject" Target="embeddings/oleObject2.bin"/><Relationship Id="rId5" Type="http://schemas.openxmlformats.org/officeDocument/2006/relationships/image" Target="media/image1.wmf"/><Relationship Id="rId40" Type="http://schemas.openxmlformats.org/officeDocument/2006/relationships/fontTable" Target="fontTable.xml"/><Relationship Id="rId4" Type="http://schemas.openxmlformats.org/officeDocument/2006/relationships/oleObject" Target="embeddings/oleObject1.bin"/><Relationship Id="rId39" Type="http://schemas.openxmlformats.org/officeDocument/2006/relationships/customXml" Target="../customXml/item8.xml"/><Relationship Id="rId38" Type="http://schemas.openxmlformats.org/officeDocument/2006/relationships/customXml" Target="../customXml/item7.xml"/><Relationship Id="rId37" Type="http://schemas.openxmlformats.org/officeDocument/2006/relationships/customXml" Target="../customXml/item6.xml"/><Relationship Id="rId36" Type="http://schemas.openxmlformats.org/officeDocument/2006/relationships/customXml" Target="../customXml/item5.xml"/><Relationship Id="rId35" Type="http://schemas.openxmlformats.org/officeDocument/2006/relationships/customXml" Target="../customXml/item4.xml"/><Relationship Id="rId34" Type="http://schemas.openxmlformats.org/officeDocument/2006/relationships/customXml" Target="../customXml/item3.xml"/><Relationship Id="rId33" Type="http://schemas.openxmlformats.org/officeDocument/2006/relationships/customXml" Target="../customXml/item2.xml"/><Relationship Id="rId32" Type="http://schemas.openxmlformats.org/officeDocument/2006/relationships/customXml" Target="../customXml/item1.xml"/><Relationship Id="rId31" Type="http://schemas.openxmlformats.org/officeDocument/2006/relationships/image" Target="media/image3.tiff"/><Relationship Id="rId30" Type="http://schemas.openxmlformats.org/officeDocument/2006/relationships/oleObject" Target="embeddings/oleObject25.bin"/><Relationship Id="rId3" Type="http://schemas.openxmlformats.org/officeDocument/2006/relationships/theme" Target="theme/theme1.xml"/><Relationship Id="rId29" Type="http://schemas.openxmlformats.org/officeDocument/2006/relationships/oleObject" Target="embeddings/oleObject24.bin"/><Relationship Id="rId28" Type="http://schemas.openxmlformats.org/officeDocument/2006/relationships/oleObject" Target="embeddings/oleObject23.bin"/><Relationship Id="rId27" Type="http://schemas.openxmlformats.org/officeDocument/2006/relationships/oleObject" Target="embeddings/oleObject22.bin"/><Relationship Id="rId26" Type="http://schemas.openxmlformats.org/officeDocument/2006/relationships/oleObject" Target="embeddings/oleObject21.bin"/><Relationship Id="rId25" Type="http://schemas.openxmlformats.org/officeDocument/2006/relationships/oleObject" Target="embeddings/oleObject20.bin"/><Relationship Id="rId24" Type="http://schemas.openxmlformats.org/officeDocument/2006/relationships/oleObject" Target="embeddings/oleObject19.bin"/><Relationship Id="rId23" Type="http://schemas.openxmlformats.org/officeDocument/2006/relationships/oleObject" Target="embeddings/oleObject18.bin"/><Relationship Id="rId22" Type="http://schemas.openxmlformats.org/officeDocument/2006/relationships/oleObject" Target="embeddings/oleObject17.bin"/><Relationship Id="rId21" Type="http://schemas.openxmlformats.org/officeDocument/2006/relationships/oleObject" Target="embeddings/oleObject16.bin"/><Relationship Id="rId20" Type="http://schemas.openxmlformats.org/officeDocument/2006/relationships/oleObject" Target="embeddings/oleObject15.bin"/><Relationship Id="rId2" Type="http://schemas.openxmlformats.org/officeDocument/2006/relationships/settings" Target="settings.xml"/><Relationship Id="rId19" Type="http://schemas.openxmlformats.org/officeDocument/2006/relationships/oleObject" Target="embeddings/oleObject14.bin"/><Relationship Id="rId18" Type="http://schemas.openxmlformats.org/officeDocument/2006/relationships/oleObject" Target="embeddings/oleObject13.bin"/><Relationship Id="rId17" Type="http://schemas.openxmlformats.org/officeDocument/2006/relationships/oleObject" Target="embeddings/oleObject12.bin"/><Relationship Id="rId16" Type="http://schemas.openxmlformats.org/officeDocument/2006/relationships/image" Target="media/image2.tiff"/><Relationship Id="rId15" Type="http://schemas.openxmlformats.org/officeDocument/2006/relationships/oleObject" Target="embeddings/oleObject11.bin"/><Relationship Id="rId14" Type="http://schemas.openxmlformats.org/officeDocument/2006/relationships/oleObject" Target="embeddings/oleObject10.bin"/><Relationship Id="rId13" Type="http://schemas.openxmlformats.org/officeDocument/2006/relationships/oleObject" Target="embeddings/oleObject9.bin"/><Relationship Id="rId12" Type="http://schemas.openxmlformats.org/officeDocument/2006/relationships/oleObject" Target="embeddings/oleObject8.bin"/><Relationship Id="rId11" Type="http://schemas.openxmlformats.org/officeDocument/2006/relationships/oleObject" Target="embeddings/oleObject7.bin"/><Relationship Id="rId10" Type="http://schemas.openxmlformats.org/officeDocument/2006/relationships/oleObject" Target="embeddings/oleObject6.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FX_SUPPLEMENTINFO>
  <alternativeDatas/>
  <ObjectBasicFmts/>
</FX_SUPPLEMENTINFO>
</file>

<file path=customXml/item2.xml><?xml version="1.0" encoding="utf-8"?>
<contractReview xmlns="http://schemas.wps.cn/vas-ai-hub/contract-review">
  <reviewItems>
    <reviewItem>
      <errorID>c4715998aff44727abd89b3bb6f6d7b1</errorID>
      <errorWord>【</errorWord>
      <group>L1_Format</group>
      <groupName>格式问题</groupName>
      <ability>L2_HalfPunc</ability>
      <abilityName>全半角检查</abilityName>
      <candidateList>
        <item>[</item>
      </candidateList>
      <explain>此处疑似使用的全角符号，建议将其修改为半角符号，规范书写格式</explain>
      <paraID>5E6E12BE</paraID>
      <start>0</start>
      <end>1</end>
      <status>unmodified</status>
      <modifiedWord/>
      <trackRevisions>false</trackRevisions>
    </reviewItem>
    <reviewItem>
      <errorID>b9bbc536f34f4115b735ffb5841b8f82</errorID>
      <errorWord>】</errorWord>
      <group>L1_Format</group>
      <groupName>格式问题</groupName>
      <ability>L2_HalfPunc</ability>
      <abilityName>全半角检查</abilityName>
      <candidateList>
        <item>]</item>
      </candidateList>
      <explain>此处疑似使用的全角符号，建议将其修改为半角符号，规范书写格式</explain>
      <paraID>5E6E12BE</paraID>
      <start>9</start>
      <end>10</end>
      <status>unmodified</status>
      <modifiedWord/>
      <trackRevisions>false</trackRevisions>
    </reviewItem>
    <reviewItem>
      <errorID>35569858cdef4c579bfe5753baffddd7</errorID>
      <errorWord>Objective  To</errorWord>
      <group>L1_Punc</group>
      <groupName>标点问题</groupName>
      <ability>L2_Punc</ability>
      <abilityName>标点符号检查</abilityName>
      <candidateList>
        <item>Objective To</item>
      </candidateList>
      <explain>此处疑似有空格冗余，建议删除，规范书写格式</explain>
      <paraID>5E6E12BE</paraID>
      <start>11</start>
      <end>25</end>
      <status>unmodified</status>
      <modifiedWord/>
      <trackRevisions>false</trackRevisions>
    </reviewItem>
    <reviewItem>
      <errorID>faad6d17dbda4ea0aa62331df3bc9132</errorID>
      <errorWord>Methods  A</errorWord>
      <group>L1_Punc</group>
      <groupName>标点问题</groupName>
      <ability>L2_Punc</ability>
      <abilityName>标点符号检查</abilityName>
      <candidateList>
        <item>Methods A</item>
      </candidateList>
      <explain>此处疑似有空格冗余，建议删除，规范书写格式</explain>
      <paraID>5E6E12BE</paraID>
      <start>268</start>
      <end>278</end>
      <status>unmodified</status>
      <modifiedWord/>
      <trackRevisions>false</trackRevisions>
    </reviewItem>
    <reviewItem>
      <errorID>895ddda0e3fa4d768437bde6859c6e05</errorID>
      <errorWord>analyses</errorWord>
      <group>L1_English</group>
      <groupName>英文问题</groupName>
      <ability>L2_EnglishSpell</ability>
      <abilityName>英文拼写检查</abilityName>
      <candidateList>
        <item>analyzes</item>
      </candidateList>
      <explain>建议英式写法修正为美式</explain>
      <paraID>5E6E12BE</paraID>
      <start>1415</start>
      <end>1423</end>
      <status>modified</status>
      <modifiedWord>analyzes</modifiedWord>
      <trackRevisions>false</trackRevisions>
    </reviewItem>
    <reviewItem>
      <errorID>98af4ef6fb3449c39a10e342382b26f6</errorID>
      <errorWord>Results  Compared</errorWord>
      <group>L1_Punc</group>
      <groupName>标点问题</groupName>
      <ability>L2_Punc</ability>
      <abilityName>标点符号检查</abilityName>
      <candidateList>
        <item>Results Compared</item>
      </candidateList>
      <explain>此处疑似有空格冗余，建议删除，规范书写格式</explain>
      <paraID>5E6E12BE</paraID>
      <start>1686</start>
      <end>1703</end>
      <status>unmodified</status>
      <modifiedWord/>
      <trackRevisions>false</trackRevisions>
    </reviewItem>
    <reviewItem>
      <errorID>2ef27b3a76cb472a80ec6a84a693d1e2</errorID>
      <errorWord>[</errorWord>
      <group>L1_Punc</group>
      <groupName>标点问题</groupName>
      <ability>L2_Punc</ability>
      <abilityName>标点符号检查</abilityName>
      <candidateList/>
      <explain>此处标点可能未正确匹配，建议检查，规范书写格式</explain>
      <paraID>5E6E12BE</paraID>
      <start>1991</start>
      <end>1992</end>
      <status>unmodified</status>
      <modifiedWord/>
      <trackRevisions>false</trackRevisions>
    </reviewItem>
    <reviewItem>
      <errorID>f289d717fa7140968ed1529f068fc120</errorID>
      <errorWord>(</errorWord>
      <group>L1_Punc</group>
      <groupName>标点问题</groupName>
      <ability>L2_Punc</ability>
      <abilityName>标点符号检查</abilityName>
      <candidateList/>
      <explain>此处标点可能未正确匹配，建议检查，规范书写格式</explain>
      <paraID>5E6E12BE</paraID>
      <start>2023</start>
      <end>2024</end>
      <status>unmodified</status>
      <modifiedWord/>
      <trackRevisions>false</trackRevisions>
    </reviewItem>
  </reviewItems>
  <config/>
</contractReview>
</file>

<file path=customXml/item3.xml><?xml version="1.0" encoding="utf-8"?>
<Root xmlns="http://www.founder.com/ProofFile">
  <Root proofFileId="d5b4dd0e-f498-4086-a679-26e67b88a38e" proofVersionId="1"/>
</Root>
</file>

<file path=customXml/item4.xml><?xml version="1.0" encoding="utf-8"?>
<CoverPageProperties xmlns="http://schemas.microsoft.com/office/2006/coverPageProps">
  <PublishDate>2009-03-09T00:00:00</PublishDate>
  <Abstract/>
  <CompanyAddress/>
  <CompanyPhone/>
  <CompanyFax/>
  <CompanyEmail/>
</CoverPageProperties>
</file>

<file path=customXml/item5.xml><?xml version="1.0" encoding="utf-8"?>
<app-settings mode="post">
  <meta-data>
    <meta-item type="title">
      <Params>
        <Param name="title-output-mode" value="completed-output" type="enum"/>
      </Params>
    </meta-item>
  </meta-data>
</app-settings>
</file>

<file path=customXml/item6.xml><?xml version="1.0" encoding="utf-8"?>
<cxp:PackageInfo xmlns:cxp="http://www.founder.com/2010/customXmlParts">
  <LabelTrees>
    <LabelTree customXmlPartId="{4B3307D3-B2C9-4FF8-8CBB-8B9570B3AA04}"/>
  </LabelTrees>
</cxp:PackageInfo>
</file>

<file path=customXml/item7.xml><?xml version="1.0" encoding="utf-8"?>
<fxdataroot>
  <parastyle-set>
    <parastyle name="01中文标题" metatype="中文标题"/>
    <parastyle name="05中文关键词" metatype="中文关键词"/>
    <parastyle name="07中图分类号" metatype="文章编号"/>
    <parastyle name="11英文标题" metatype="英文标题"/>
    <parastyle name="15英文关键词" metatype="英文关键词"/>
    <parastyle name="22参考文献条目段落" metatype="参考文献条目"/>
    <parastyle name="42一级标题" metatype="一级标题"/>
    <parastyle name="42三级标题" metatype="三级标题"/>
    <parastyle name="42二级标题" metatype="二级标题"/>
    <parastyle name="53章首注释区" metatype="收稿日期"/>
    <parastyle name="普通图图题" metatype="中文图序号,中文图题"/>
    <parastyle name="表注" metatype="中文表注"/>
    <parastyle name="表题" metatype="中文表头,中文表题"/>
  </parastyle-set>
</fxdataroot>
</file>

<file path=customXml/item8.xml><?xml version="1.0" encoding="utf-8"?>
<dp:LabelRoot xmlns:dp="http://www.founder.com/2010/digitalPublish/labelTree" tagType="contentCtrl">
</dp:LabelRoot>
</file>

<file path=customXml/itemProps1.xml><?xml version="1.0" encoding="utf-8"?>
<ds:datastoreItem xmlns:ds="http://schemas.openxmlformats.org/officeDocument/2006/customXml" ds:itemID="{F591E416-0D03-420E-BDDD-05A612F4CD07}">
  <ds:schemaRefs/>
</ds:datastoreItem>
</file>

<file path=customXml/itemProps2.xml><?xml version="1.0" encoding="utf-8"?>
<ds:datastoreItem xmlns:ds="http://schemas.openxmlformats.org/officeDocument/2006/customXml" ds:itemID="{E451691A-2212-4301-A08F-E1FDF7E994C2}">
  <ds:schemaRefs/>
</ds:datastoreItem>
</file>

<file path=customXml/itemProps3.xml><?xml version="1.0" encoding="utf-8"?>
<ds:datastoreItem xmlns:ds="http://schemas.openxmlformats.org/officeDocument/2006/customXml" ds:itemID="{7501B718-698D-4FC5-A942-35ECAE937685}">
  <ds:schemaRefs/>
</ds:datastoreItem>
</file>

<file path=customXml/itemProps4.xml><?xml version="1.0" encoding="utf-8"?>
<ds:datastoreItem xmlns:ds="http://schemas.openxmlformats.org/officeDocument/2006/customXml" ds:itemID="{F8788689-C533-4448-945B-12F4B397B557}">
  <ds:schemaRefs/>
</ds:datastoreItem>
</file>

<file path=customXml/itemProps5.xml><?xml version="1.0" encoding="utf-8"?>
<ds:datastoreItem xmlns:ds="http://schemas.openxmlformats.org/officeDocument/2006/customXml" ds:itemID="{0EBD3331-3C15-449F-B24F-FEA536A49404}">
  <ds:schemaRefs/>
</ds:datastoreItem>
</file>

<file path=customXml/itemProps6.xml><?xml version="1.0" encoding="utf-8"?>
<ds:datastoreItem xmlns:ds="http://schemas.openxmlformats.org/officeDocument/2006/customXml" ds:itemID="{A6139CF6-5931-4AE5-A712-2A5998365C5A}">
  <ds:schemaRefs/>
</ds:datastoreItem>
</file>

<file path=customXml/itemProps7.xml><?xml version="1.0" encoding="utf-8"?>
<ds:datastoreItem xmlns:ds="http://schemas.openxmlformats.org/officeDocument/2006/customXml" ds:itemID="{6B9F20F1-3D06-4433-9135-C990552D6999}">
  <ds:schemaRefs/>
</ds:datastoreItem>
</file>

<file path=customXml/itemProps8.xml><?xml version="1.0" encoding="utf-8"?>
<ds:datastoreItem xmlns:ds="http://schemas.openxmlformats.org/officeDocument/2006/customXml" ds:itemID="{4B3307D3-B2C9-4FF8-8CBB-8B9570B3AA04}">
  <ds:schemaRefs/>
</ds:datastoreItem>
</file>

<file path=docProps/app.xml><?xml version="1.0" encoding="utf-8"?>
<Properties xmlns="http://schemas.openxmlformats.org/officeDocument/2006/extended-properties" xmlns:vt="http://schemas.openxmlformats.org/officeDocument/2006/docPropsVTypes">
  <Template>Normal.dotm</Template>
  <Company>Intergen Ltd</Company>
  <Pages>15</Pages>
  <Words>6159</Words>
  <Characters>13421</Characters>
  <Lines>179</Lines>
  <Paragraphs>50</Paragraphs>
  <TotalTime>3</TotalTime>
  <ScaleCrop>false</ScaleCrop>
  <LinksUpToDate>false</LinksUpToDate>
  <CharactersWithSpaces>14139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2009-03-05T00:31:00Z</dcterms:created>
  <dc:creator>administrator</dc:creator>
  <cp:lastModifiedBy>戴荣源</cp:lastModifiedBy>
  <dcterms:modified xsi:type="dcterms:W3CDTF">2026-02-11T07:59:08Z</dcterms:modified>
  <cp:revision>183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eyJoZGlkIjoiYjM4NWQ5NWU5NTJhMDRjYWViOWE0ZTk2NGE4OWY0MWYiLCJ1c2VySWQiOiI0NDI2NzE4OTYifQ==</vt:lpwstr>
  </property>
  <property fmtid="{D5CDD505-2E9C-101B-9397-08002B2CF9AE}" pid="3" name="KSOProductBuildVer">
    <vt:lpwstr>2052-12.1.0.25225</vt:lpwstr>
  </property>
  <property fmtid="{D5CDD505-2E9C-101B-9397-08002B2CF9AE}" pid="4" name="ICV">
    <vt:lpwstr>2BC670C1F2BB4CB3AFED73CE44B88B8C_13</vt:lpwstr>
  </property>
</Properties>
</file>